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6A" w:rsidRPr="0083086A" w:rsidRDefault="0083086A" w:rsidP="00850689">
      <w:pPr>
        <w:pStyle w:val="Tijeloteksta"/>
        <w:jc w:val="center"/>
        <w:rPr>
          <w:rFonts w:ascii="Times New Roman" w:hAnsi="Times New Roman" w:cs="Times New Roman"/>
          <w:b/>
          <w:bCs/>
        </w:rPr>
      </w:pPr>
      <w:r w:rsidRPr="0083086A">
        <w:rPr>
          <w:rFonts w:ascii="Times New Roman" w:hAnsi="Times New Roman" w:cs="Times New Roman"/>
          <w:b/>
          <w:bCs/>
        </w:rPr>
        <w:t xml:space="preserve">KNJIGOVODSTVENO EVIDENTIRANJE BESKAMATNOG ZAJMA </w:t>
      </w:r>
      <w:r w:rsidR="00703E8D">
        <w:rPr>
          <w:rFonts w:ascii="Times New Roman" w:hAnsi="Times New Roman" w:cs="Times New Roman"/>
          <w:b/>
          <w:bCs/>
        </w:rPr>
        <w:t>JLP(R)S</w:t>
      </w:r>
      <w:r w:rsidRPr="0083086A">
        <w:rPr>
          <w:rFonts w:ascii="Times New Roman" w:hAnsi="Times New Roman" w:cs="Times New Roman"/>
          <w:b/>
          <w:bCs/>
        </w:rPr>
        <w:t xml:space="preserve"> DO VISINE POREZA NA DOHODAK, PRIREZA POREZU NA DOHODAK ČIJE JE PLAĆANJE OSLOBOĐENO, ODGOĐENO I/ILI JE ODOBRENA OBROČNA OTPLATA ODNOSNO DO VISINE IZVRŠENOG POVRATA I PREMA RASPOLOŽIVIM SREDSTVIMA DRŽAVNOG PRORAČUNA</w:t>
      </w:r>
    </w:p>
    <w:p w:rsidR="0083086A" w:rsidRPr="003E5136" w:rsidRDefault="0083086A" w:rsidP="00D6581D">
      <w:pPr>
        <w:pStyle w:val="Tijeloteksta"/>
        <w:rPr>
          <w:rFonts w:ascii="Times New Roman" w:hAnsi="Times New Roman" w:cs="Times New Roman"/>
          <w:bCs/>
          <w:sz w:val="28"/>
          <w:szCs w:val="28"/>
        </w:rPr>
      </w:pPr>
    </w:p>
    <w:p w:rsidR="0083086A" w:rsidRPr="003E5136" w:rsidRDefault="0083086A" w:rsidP="00D6581D">
      <w:pPr>
        <w:spacing w:line="240" w:lineRule="auto"/>
        <w:jc w:val="both"/>
        <w:rPr>
          <w:rFonts w:ascii="Times New Roman" w:hAnsi="Times New Roman" w:cs="Times New Roman"/>
          <w:sz w:val="24"/>
          <w:szCs w:val="24"/>
        </w:rPr>
      </w:pPr>
      <w:r>
        <w:rPr>
          <w:rFonts w:ascii="Times New Roman" w:hAnsi="Times New Roman" w:cs="Times New Roman"/>
          <w:sz w:val="24"/>
          <w:szCs w:val="24"/>
        </w:rPr>
        <w:t>Zbog</w:t>
      </w:r>
      <w:r w:rsidRPr="003E5136">
        <w:rPr>
          <w:rFonts w:ascii="Times New Roman" w:hAnsi="Times New Roman" w:cs="Times New Roman"/>
          <w:sz w:val="24"/>
          <w:szCs w:val="24"/>
        </w:rPr>
        <w:t xml:space="preserve"> ekonomskih posljedica uzrokovanih pandemijom koronavirusa COVID-19 i </w:t>
      </w:r>
      <w:r>
        <w:rPr>
          <w:rFonts w:ascii="Times New Roman" w:hAnsi="Times New Roman" w:cs="Times New Roman"/>
          <w:sz w:val="24"/>
          <w:szCs w:val="24"/>
        </w:rPr>
        <w:t xml:space="preserve">ekonomskih </w:t>
      </w:r>
      <w:r w:rsidRPr="003E5136">
        <w:rPr>
          <w:rFonts w:ascii="Times New Roman" w:hAnsi="Times New Roman" w:cs="Times New Roman"/>
          <w:sz w:val="24"/>
          <w:szCs w:val="24"/>
        </w:rPr>
        <w:t xml:space="preserve">mjera Vlade Republike Hrvatske </w:t>
      </w:r>
      <w:r>
        <w:rPr>
          <w:rFonts w:ascii="Times New Roman" w:hAnsi="Times New Roman" w:cs="Times New Roman"/>
          <w:sz w:val="24"/>
          <w:szCs w:val="24"/>
        </w:rPr>
        <w:t>usmjerenih davanju poticaja za zadržavanje radnih mjesta i rješavanj</w:t>
      </w:r>
      <w:r w:rsidR="00E34D9A">
        <w:rPr>
          <w:rFonts w:ascii="Times New Roman" w:hAnsi="Times New Roman" w:cs="Times New Roman"/>
          <w:sz w:val="24"/>
          <w:szCs w:val="24"/>
        </w:rPr>
        <w:t>u</w:t>
      </w:r>
      <w:r>
        <w:rPr>
          <w:rFonts w:ascii="Times New Roman" w:hAnsi="Times New Roman" w:cs="Times New Roman"/>
          <w:sz w:val="24"/>
          <w:szCs w:val="24"/>
        </w:rPr>
        <w:t xml:space="preserve"> problema nelikvidnosti onima čija je poslovna aktivnost smanjena uslijed epidemije</w:t>
      </w:r>
      <w:r w:rsidRPr="003E5136">
        <w:rPr>
          <w:rFonts w:ascii="Times New Roman" w:hAnsi="Times New Roman" w:cs="Times New Roman"/>
          <w:sz w:val="24"/>
          <w:szCs w:val="24"/>
        </w:rPr>
        <w:t xml:space="preserve">, </w:t>
      </w:r>
      <w:r>
        <w:rPr>
          <w:rFonts w:ascii="Times New Roman" w:hAnsi="Times New Roman" w:cs="Times New Roman"/>
          <w:sz w:val="24"/>
          <w:szCs w:val="24"/>
        </w:rPr>
        <w:t xml:space="preserve">jedinicama lokalne i područne (regionalne) samouprave </w:t>
      </w:r>
      <w:r w:rsidRPr="003E5136">
        <w:rPr>
          <w:rFonts w:ascii="Times New Roman" w:hAnsi="Times New Roman" w:cs="Times New Roman"/>
          <w:sz w:val="24"/>
          <w:szCs w:val="24"/>
        </w:rPr>
        <w:t xml:space="preserve">koje su </w:t>
      </w:r>
      <w:r w:rsidR="00E33738">
        <w:rPr>
          <w:rFonts w:ascii="Times New Roman" w:hAnsi="Times New Roman" w:cs="Times New Roman"/>
          <w:sz w:val="24"/>
          <w:szCs w:val="24"/>
        </w:rPr>
        <w:t>se suočile s</w:t>
      </w:r>
      <w:r w:rsidRPr="003E5136">
        <w:rPr>
          <w:rFonts w:ascii="Times New Roman" w:hAnsi="Times New Roman" w:cs="Times New Roman"/>
          <w:sz w:val="24"/>
          <w:szCs w:val="24"/>
        </w:rPr>
        <w:t xml:space="preserve"> nesrazmjer</w:t>
      </w:r>
      <w:r w:rsidR="00E33738">
        <w:rPr>
          <w:rFonts w:ascii="Times New Roman" w:hAnsi="Times New Roman" w:cs="Times New Roman"/>
          <w:sz w:val="24"/>
          <w:szCs w:val="24"/>
        </w:rPr>
        <w:t>om</w:t>
      </w:r>
      <w:r w:rsidRPr="003E5136">
        <w:rPr>
          <w:rFonts w:ascii="Times New Roman" w:hAnsi="Times New Roman" w:cs="Times New Roman"/>
          <w:sz w:val="24"/>
          <w:szCs w:val="24"/>
        </w:rPr>
        <w:t xml:space="preserve"> između dinamike priljeva sredstava i dospijeća </w:t>
      </w:r>
      <w:r w:rsidR="00E33738">
        <w:rPr>
          <w:rFonts w:ascii="Times New Roman" w:hAnsi="Times New Roman" w:cs="Times New Roman"/>
          <w:sz w:val="24"/>
          <w:szCs w:val="24"/>
        </w:rPr>
        <w:t>obveza, omogućene su</w:t>
      </w:r>
      <w:r w:rsidRPr="003E5136">
        <w:rPr>
          <w:rFonts w:ascii="Times New Roman" w:hAnsi="Times New Roman" w:cs="Times New Roman"/>
          <w:sz w:val="24"/>
          <w:szCs w:val="24"/>
        </w:rPr>
        <w:t xml:space="preserve"> mjere pomoći </w:t>
      </w:r>
      <w:r w:rsidR="00E33738">
        <w:rPr>
          <w:rFonts w:ascii="Times New Roman" w:hAnsi="Times New Roman" w:cs="Times New Roman"/>
          <w:sz w:val="24"/>
          <w:szCs w:val="24"/>
        </w:rPr>
        <w:t>usmjerene na poboljšanje</w:t>
      </w:r>
      <w:r w:rsidRPr="003E5136">
        <w:rPr>
          <w:rFonts w:ascii="Times New Roman" w:hAnsi="Times New Roman" w:cs="Times New Roman"/>
          <w:sz w:val="24"/>
          <w:szCs w:val="24"/>
        </w:rPr>
        <w:t xml:space="preserve"> likvidnosti i učinkovitije upravljanje proračunskim sredstvima.</w:t>
      </w:r>
    </w:p>
    <w:p w:rsidR="0083086A" w:rsidRPr="003E5136"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Naime, dopunama Općeg poreznog zakona iz ožujka ove godine</w:t>
      </w:r>
      <w:r w:rsidR="000F5DB9">
        <w:rPr>
          <w:rFonts w:ascii="Times New Roman" w:hAnsi="Times New Roman" w:cs="Times New Roman"/>
        </w:rPr>
        <w:t xml:space="preserve"> </w:t>
      </w:r>
      <w:r w:rsidR="000F5DB9" w:rsidRPr="000F5DB9">
        <w:rPr>
          <w:rFonts w:ascii="Times New Roman" w:hAnsi="Times New Roman" w:cs="Times New Roman"/>
        </w:rPr>
        <w:t>(Narodne novine, br. 32/20)</w:t>
      </w:r>
      <w:r w:rsidRPr="003E5136">
        <w:rPr>
          <w:rFonts w:ascii="Times New Roman" w:hAnsi="Times New Roman" w:cs="Times New Roman"/>
          <w:sz w:val="24"/>
          <w:szCs w:val="24"/>
        </w:rPr>
        <w:t xml:space="preserve"> omogućena je odgoda i/ili obročna otplata nastalih i/ili dospjelih poreznih obveza, u slučaju da posebne okolnosti utječu na mogućnost podmirivanja poreznih obv</w:t>
      </w:r>
      <w:r w:rsidR="00CF66FB">
        <w:rPr>
          <w:rFonts w:ascii="Times New Roman" w:hAnsi="Times New Roman" w:cs="Times New Roman"/>
          <w:sz w:val="24"/>
          <w:szCs w:val="24"/>
        </w:rPr>
        <w:t>eza, a d</w:t>
      </w:r>
      <w:r w:rsidRPr="003E5136">
        <w:rPr>
          <w:rFonts w:ascii="Times New Roman" w:hAnsi="Times New Roman" w:cs="Times New Roman"/>
          <w:sz w:val="24"/>
          <w:szCs w:val="24"/>
        </w:rPr>
        <w:t>opunama istog Zakona iz travnja uvedena je mogućnost oslobođenja poreznih obveznika podmirivanja poreznih obveza u cijelosti ili djelomično, ako im je zbog posebnih okolnosti odlukama nadležnog tijela rad zabranjen, odnosno onemogućen ili znatno otežan. Također je propisano da će porezni obveznik koji je za vrijeme trajanja posebnih okolnosti ostvario mjeru potpore za očuvanje radnih mjesta sufinanciranja plaća biti oslobođen obveze plaćanja javnih davanja za sufinancirane netoplaće.</w:t>
      </w:r>
    </w:p>
    <w:p w:rsidR="00CF66FB" w:rsidRDefault="00CF66FB" w:rsidP="00D6581D">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83086A" w:rsidRPr="003E5136">
        <w:rPr>
          <w:rFonts w:ascii="Times New Roman" w:hAnsi="Times New Roman" w:cs="Times New Roman"/>
          <w:sz w:val="24"/>
          <w:szCs w:val="24"/>
        </w:rPr>
        <w:t xml:space="preserve"> obzirom na to da primjena navedenih mjera dodatno (uz utjecaj pandemije na ekonomiju) utječe na financiranje JLP</w:t>
      </w:r>
      <w:r w:rsidR="00E15145">
        <w:rPr>
          <w:rFonts w:ascii="Times New Roman" w:hAnsi="Times New Roman" w:cs="Times New Roman"/>
          <w:sz w:val="24"/>
          <w:szCs w:val="24"/>
        </w:rPr>
        <w:t>(</w:t>
      </w:r>
      <w:r w:rsidR="0083086A" w:rsidRPr="003E5136">
        <w:rPr>
          <w:rFonts w:ascii="Times New Roman" w:hAnsi="Times New Roman" w:cs="Times New Roman"/>
          <w:sz w:val="24"/>
          <w:szCs w:val="24"/>
        </w:rPr>
        <w:t>R</w:t>
      </w:r>
      <w:r w:rsidR="00E15145">
        <w:rPr>
          <w:rFonts w:ascii="Times New Roman" w:hAnsi="Times New Roman" w:cs="Times New Roman"/>
          <w:sz w:val="24"/>
          <w:szCs w:val="24"/>
        </w:rPr>
        <w:t>)</w:t>
      </w:r>
      <w:r w:rsidR="0083086A" w:rsidRPr="003E5136">
        <w:rPr>
          <w:rFonts w:ascii="Times New Roman" w:hAnsi="Times New Roman" w:cs="Times New Roman"/>
          <w:sz w:val="24"/>
          <w:szCs w:val="24"/>
        </w:rPr>
        <w:t>S u smislu smanjenja prihoda od poreza, izmjenama i dopunama Zakona o izvršavanju Državnog proračuna za 2020.</w:t>
      </w:r>
      <w:r w:rsidR="000F5DB9">
        <w:rPr>
          <w:rFonts w:ascii="Times New Roman" w:hAnsi="Times New Roman" w:cs="Times New Roman"/>
        </w:rPr>
        <w:t xml:space="preserve"> </w:t>
      </w:r>
      <w:r w:rsidR="000F5DB9" w:rsidRPr="000F5DB9">
        <w:rPr>
          <w:rFonts w:ascii="Times New Roman" w:hAnsi="Times New Roman" w:cs="Times New Roman"/>
        </w:rPr>
        <w:t>(Narodne novine, br. 42/20)</w:t>
      </w:r>
      <w:r w:rsidR="0083086A" w:rsidRPr="003E5136">
        <w:rPr>
          <w:rFonts w:ascii="Times New Roman" w:hAnsi="Times New Roman" w:cs="Times New Roman"/>
          <w:sz w:val="24"/>
          <w:szCs w:val="24"/>
        </w:rPr>
        <w:t xml:space="preserve"> koje su pratile dopune Općeg poreznog zakona, propisano je da će u ovim uvjetima Republika Hrvatska osigurati sredstva beskamatnog zajma </w:t>
      </w:r>
      <w:r w:rsidR="0083086A">
        <w:rPr>
          <w:rFonts w:ascii="Times New Roman" w:hAnsi="Times New Roman" w:cs="Times New Roman"/>
          <w:sz w:val="24"/>
          <w:szCs w:val="24"/>
        </w:rPr>
        <w:t>jedinicama lokalne i područne (regionalne) samouprave</w:t>
      </w:r>
      <w:r w:rsidR="0083086A" w:rsidRPr="003E5136">
        <w:rPr>
          <w:rFonts w:ascii="Times New Roman" w:hAnsi="Times New Roman" w:cs="Times New Roman"/>
          <w:sz w:val="24"/>
          <w:szCs w:val="24"/>
        </w:rPr>
        <w:t xml:space="preserve">, HZZO-u i HZMO-u za premošćivanje situacije nastale zbog različite dinamike priljeva sredstava i dospijeća obveza. Nastavno na odredbe Zakona o izvršavanju, ministar financija donio je Naputak o načinu isplate beskamatnog zajma </w:t>
      </w:r>
      <w:r w:rsidR="0083086A">
        <w:rPr>
          <w:rFonts w:ascii="Times New Roman" w:hAnsi="Times New Roman" w:cs="Times New Roman"/>
          <w:sz w:val="24"/>
          <w:szCs w:val="24"/>
        </w:rPr>
        <w:t>jedinicama lokalne i područne (regionalne) samouprave</w:t>
      </w:r>
      <w:r w:rsidR="0083086A" w:rsidRPr="003E5136">
        <w:rPr>
          <w:rFonts w:ascii="Times New Roman" w:hAnsi="Times New Roman" w:cs="Times New Roman"/>
          <w:sz w:val="24"/>
          <w:szCs w:val="24"/>
        </w:rPr>
        <w:t>, HZMO</w:t>
      </w:r>
      <w:r w:rsidR="00424704">
        <w:rPr>
          <w:rFonts w:ascii="Times New Roman" w:hAnsi="Times New Roman" w:cs="Times New Roman"/>
          <w:sz w:val="24"/>
          <w:szCs w:val="24"/>
        </w:rPr>
        <w:t>-u</w:t>
      </w:r>
      <w:r w:rsidR="0083086A" w:rsidRPr="003E5136">
        <w:rPr>
          <w:rFonts w:ascii="Times New Roman" w:hAnsi="Times New Roman" w:cs="Times New Roman"/>
          <w:sz w:val="24"/>
          <w:szCs w:val="24"/>
        </w:rPr>
        <w:t xml:space="preserve"> i HZZO</w:t>
      </w:r>
      <w:r w:rsidR="00424704">
        <w:rPr>
          <w:rFonts w:ascii="Times New Roman" w:hAnsi="Times New Roman" w:cs="Times New Roman"/>
          <w:sz w:val="24"/>
          <w:szCs w:val="24"/>
        </w:rPr>
        <w:t>-u</w:t>
      </w:r>
      <w:r w:rsidR="0083086A" w:rsidRPr="003E5136">
        <w:rPr>
          <w:rFonts w:ascii="Times New Roman" w:hAnsi="Times New Roman" w:cs="Times New Roman"/>
          <w:sz w:val="24"/>
          <w:szCs w:val="24"/>
        </w:rPr>
        <w:t xml:space="preserve"> (</w:t>
      </w:r>
      <w:r w:rsidR="000F5DB9" w:rsidRPr="000F5DB9">
        <w:rPr>
          <w:rFonts w:ascii="Times New Roman" w:hAnsi="Times New Roman" w:cs="Times New Roman"/>
          <w:sz w:val="24"/>
          <w:szCs w:val="24"/>
        </w:rPr>
        <w:t>Narodne novine, br. 46/20</w:t>
      </w:r>
      <w:r w:rsidR="000F5DB9">
        <w:rPr>
          <w:rFonts w:ascii="Times New Roman" w:hAnsi="Times New Roman" w:cs="Times New Roman"/>
          <w:sz w:val="24"/>
          <w:szCs w:val="24"/>
        </w:rPr>
        <w:t xml:space="preserve">; </w:t>
      </w:r>
      <w:r w:rsidR="0083086A" w:rsidRPr="003E5136">
        <w:rPr>
          <w:rFonts w:ascii="Times New Roman" w:hAnsi="Times New Roman" w:cs="Times New Roman"/>
          <w:sz w:val="24"/>
          <w:szCs w:val="24"/>
        </w:rPr>
        <w:t xml:space="preserve">dalje u tekstu: Naputak) kojim se propisuje način ostvarivanja prava na beskamatni zajam, sustav izvještavanja te način vođenja evidencija. </w:t>
      </w:r>
    </w:p>
    <w:p w:rsidR="0083086A" w:rsidRPr="003E5136" w:rsidRDefault="0083086A" w:rsidP="00D6581D">
      <w:pPr>
        <w:spacing w:line="240" w:lineRule="auto"/>
        <w:jc w:val="both"/>
        <w:rPr>
          <w:rFonts w:ascii="Times New Roman" w:hAnsi="Times New Roman" w:cs="Times New Roman"/>
          <w:b/>
          <w:sz w:val="24"/>
          <w:szCs w:val="24"/>
        </w:rPr>
      </w:pPr>
      <w:r w:rsidRPr="003E5136">
        <w:rPr>
          <w:rFonts w:ascii="Times New Roman" w:hAnsi="Times New Roman" w:cs="Times New Roman"/>
          <w:sz w:val="24"/>
          <w:szCs w:val="24"/>
        </w:rPr>
        <w:t xml:space="preserve">Uz navedene mjere oslobađanja, odgode i/ili obročne otplate poreza i prireza, </w:t>
      </w:r>
      <w:r>
        <w:rPr>
          <w:rFonts w:ascii="Times New Roman" w:hAnsi="Times New Roman" w:cs="Times New Roman"/>
          <w:b/>
          <w:sz w:val="24"/>
          <w:szCs w:val="24"/>
        </w:rPr>
        <w:t>jedinicama</w:t>
      </w:r>
      <w:r w:rsidR="003A14AF">
        <w:rPr>
          <w:rFonts w:ascii="Times New Roman" w:hAnsi="Times New Roman" w:cs="Times New Roman"/>
          <w:b/>
          <w:sz w:val="24"/>
          <w:szCs w:val="24"/>
        </w:rPr>
        <w:t xml:space="preserve"> je</w:t>
      </w:r>
      <w:r w:rsidRPr="003E5136">
        <w:rPr>
          <w:rFonts w:ascii="Times New Roman" w:hAnsi="Times New Roman" w:cs="Times New Roman"/>
          <w:b/>
          <w:sz w:val="24"/>
          <w:szCs w:val="24"/>
        </w:rPr>
        <w:t xml:space="preserve"> dana mogućnost uzimanja beskamatnog za</w:t>
      </w:r>
      <w:r>
        <w:rPr>
          <w:rFonts w:ascii="Times New Roman" w:hAnsi="Times New Roman" w:cs="Times New Roman"/>
          <w:b/>
          <w:sz w:val="24"/>
          <w:szCs w:val="24"/>
        </w:rPr>
        <w:t>jma do visine poreza na dohodak i</w:t>
      </w:r>
      <w:r w:rsidRPr="003E5136">
        <w:rPr>
          <w:rFonts w:ascii="Times New Roman" w:hAnsi="Times New Roman" w:cs="Times New Roman"/>
          <w:b/>
          <w:sz w:val="24"/>
          <w:szCs w:val="24"/>
        </w:rPr>
        <w:t xml:space="preserve"> prireza porezu na dohodak čije je plaćanje oslobođeno, odgođeno i/ili je odobrena obročna otplata odnosno do visine izvršenog povrata i prema raspoloživim sredstvima državnog proračuna.</w:t>
      </w:r>
    </w:p>
    <w:p w:rsidR="0083086A" w:rsidRPr="003E5136"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 xml:space="preserve">Prema Naputku, Fina jednom mjesečno obavještava </w:t>
      </w:r>
      <w:r>
        <w:rPr>
          <w:rFonts w:ascii="Times New Roman" w:hAnsi="Times New Roman" w:cs="Times New Roman"/>
          <w:sz w:val="24"/>
          <w:szCs w:val="24"/>
        </w:rPr>
        <w:t>jedinice</w:t>
      </w:r>
      <w:r w:rsidRPr="003E5136">
        <w:rPr>
          <w:rFonts w:ascii="Times New Roman" w:hAnsi="Times New Roman" w:cs="Times New Roman"/>
          <w:sz w:val="24"/>
          <w:szCs w:val="24"/>
        </w:rPr>
        <w:t xml:space="preserve"> </w:t>
      </w:r>
      <w:r>
        <w:rPr>
          <w:rFonts w:ascii="Times New Roman" w:hAnsi="Times New Roman" w:cs="Times New Roman"/>
          <w:sz w:val="24"/>
          <w:szCs w:val="24"/>
        </w:rPr>
        <w:t>lokalne i područne (regionalne) samouprave –</w:t>
      </w:r>
      <w:r w:rsidRPr="003E5136">
        <w:rPr>
          <w:rFonts w:ascii="Times New Roman" w:hAnsi="Times New Roman" w:cs="Times New Roman"/>
          <w:sz w:val="24"/>
          <w:szCs w:val="24"/>
        </w:rPr>
        <w:t xml:space="preserve"> korisnik</w:t>
      </w:r>
      <w:r>
        <w:rPr>
          <w:rFonts w:ascii="Times New Roman" w:hAnsi="Times New Roman" w:cs="Times New Roman"/>
          <w:sz w:val="24"/>
          <w:szCs w:val="24"/>
        </w:rPr>
        <w:t>e</w:t>
      </w:r>
      <w:r w:rsidRPr="003E5136">
        <w:rPr>
          <w:rFonts w:ascii="Times New Roman" w:hAnsi="Times New Roman" w:cs="Times New Roman"/>
          <w:sz w:val="24"/>
          <w:szCs w:val="24"/>
        </w:rPr>
        <w:t xml:space="preserve"> zajma o visini poreza na dohodak i prireza koji se neće platiti zbog oslobođenja i čije je plaćanje odgođeno i/ili je odobrena obročna otplata te o visini izvršenog povrata poreza i prireza po godišnjem obračunu.</w:t>
      </w:r>
      <w:r w:rsidR="00AF6046" w:rsidRPr="00AF6046">
        <w:rPr>
          <w:rFonts w:ascii="Times New Roman" w:hAnsi="Times New Roman" w:cs="Times New Roman"/>
          <w:sz w:val="24"/>
          <w:szCs w:val="24"/>
        </w:rPr>
        <w:t xml:space="preserve"> </w:t>
      </w:r>
      <w:r w:rsidR="00AF6046" w:rsidRPr="003E5136">
        <w:rPr>
          <w:rFonts w:ascii="Times New Roman" w:hAnsi="Times New Roman" w:cs="Times New Roman"/>
          <w:sz w:val="24"/>
          <w:szCs w:val="24"/>
        </w:rPr>
        <w:t xml:space="preserve">Ministarstvo financija jednom mjesečno izvještava </w:t>
      </w:r>
      <w:r w:rsidR="00AF6046">
        <w:rPr>
          <w:rFonts w:ascii="Times New Roman" w:hAnsi="Times New Roman" w:cs="Times New Roman"/>
          <w:sz w:val="24"/>
          <w:szCs w:val="24"/>
        </w:rPr>
        <w:t>jedinicu</w:t>
      </w:r>
      <w:r w:rsidR="00AF6046" w:rsidRPr="003E5136">
        <w:rPr>
          <w:rFonts w:ascii="Times New Roman" w:hAnsi="Times New Roman" w:cs="Times New Roman"/>
          <w:sz w:val="24"/>
          <w:szCs w:val="24"/>
        </w:rPr>
        <w:t xml:space="preserve"> </w:t>
      </w:r>
      <w:r w:rsidR="00AF6046">
        <w:rPr>
          <w:rFonts w:ascii="Times New Roman" w:hAnsi="Times New Roman" w:cs="Times New Roman"/>
          <w:sz w:val="24"/>
          <w:szCs w:val="24"/>
        </w:rPr>
        <w:t>lokalne i područne (regionalne) samouprave</w:t>
      </w:r>
      <w:r w:rsidR="00AF6046" w:rsidRPr="003E5136">
        <w:rPr>
          <w:rFonts w:ascii="Times New Roman" w:hAnsi="Times New Roman" w:cs="Times New Roman"/>
          <w:sz w:val="24"/>
          <w:szCs w:val="24"/>
        </w:rPr>
        <w:t xml:space="preserve"> o doznačenim sredstvima zajma na e-mail adresu navedenu u zahtjevu kojim je tražen beskamatni zajam.</w:t>
      </w:r>
    </w:p>
    <w:p w:rsidR="0083086A" w:rsidRPr="003E5136"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Povrat zajm</w:t>
      </w:r>
      <w:r w:rsidR="003A14AF">
        <w:rPr>
          <w:rFonts w:ascii="Times New Roman" w:hAnsi="Times New Roman" w:cs="Times New Roman"/>
          <w:sz w:val="24"/>
          <w:szCs w:val="24"/>
        </w:rPr>
        <w:t xml:space="preserve">a </w:t>
      </w:r>
      <w:r w:rsidRPr="003E5136">
        <w:rPr>
          <w:rFonts w:ascii="Times New Roman" w:hAnsi="Times New Roman" w:cs="Times New Roman"/>
          <w:sz w:val="24"/>
          <w:szCs w:val="24"/>
        </w:rPr>
        <w:t xml:space="preserve">propisan </w:t>
      </w:r>
      <w:r w:rsidR="003A14AF">
        <w:rPr>
          <w:rFonts w:ascii="Times New Roman" w:hAnsi="Times New Roman" w:cs="Times New Roman"/>
          <w:sz w:val="24"/>
          <w:szCs w:val="24"/>
        </w:rPr>
        <w:t xml:space="preserve">je </w:t>
      </w:r>
      <w:r w:rsidRPr="003E5136">
        <w:rPr>
          <w:rFonts w:ascii="Times New Roman" w:hAnsi="Times New Roman" w:cs="Times New Roman"/>
          <w:sz w:val="24"/>
          <w:szCs w:val="24"/>
        </w:rPr>
        <w:t>Naputkom i to u tri modela:</w:t>
      </w:r>
    </w:p>
    <w:p w:rsidR="0083086A" w:rsidRPr="003E5136" w:rsidRDefault="0083086A" w:rsidP="00D6581D">
      <w:pPr>
        <w:pStyle w:val="Odlomakpopisa"/>
        <w:numPr>
          <w:ilvl w:val="0"/>
          <w:numId w:val="1"/>
        </w:num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lastRenderedPageBreak/>
        <w:t xml:space="preserve">otplata sredstava zajma isplaćenog na temelju poreza na dohodak i prireza čije je plaćanje odgođeno i/ili je odobrena obročna otplata vršit će se Ministarstvu financija na račun državnog proračuna sukcesivno u visini naplate odgođenog i/ili obročnom otplatom danog poreza i prireza; </w:t>
      </w:r>
    </w:p>
    <w:p w:rsidR="0083086A" w:rsidRPr="003E5136" w:rsidRDefault="0083086A" w:rsidP="00D6581D">
      <w:pPr>
        <w:pStyle w:val="Odlomakpopisa"/>
        <w:numPr>
          <w:ilvl w:val="0"/>
          <w:numId w:val="1"/>
        </w:num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otplata sredstava zajma u visini povrata poreza na dohodak i prireza po godišnjoj prijavi moguća je najduže u roku od godinu dana;</w:t>
      </w:r>
    </w:p>
    <w:p w:rsidR="0083086A" w:rsidRPr="003E5136" w:rsidRDefault="0083086A" w:rsidP="00D6581D">
      <w:pPr>
        <w:pStyle w:val="Odlomakpopisa"/>
        <w:numPr>
          <w:ilvl w:val="0"/>
          <w:numId w:val="1"/>
        </w:num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otplata sredstava zajma danog na ime poreza na dohodak i prireza čijeg je plaćanja porezni obveznik oslobođen utvrdit će se u propisu kojim će biti utvrđeno izvršavanje Državnog proračuna za 2021. godinu.</w:t>
      </w:r>
    </w:p>
    <w:p w:rsidR="003A14AF"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Zajam koji se daje na temelju Zakona o izvršavanju Državnog proračuna za 2020. i u skladu s odredbama Naputka evidentira se kao kratkoročni zajam.</w:t>
      </w:r>
      <w:r w:rsidR="00E453F3">
        <w:rPr>
          <w:rFonts w:ascii="Times New Roman" w:hAnsi="Times New Roman" w:cs="Times New Roman"/>
          <w:sz w:val="24"/>
          <w:szCs w:val="24"/>
        </w:rPr>
        <w:t xml:space="preserve"> U</w:t>
      </w:r>
      <w:r w:rsidR="00E453F3" w:rsidRPr="00E453F3">
        <w:rPr>
          <w:rFonts w:ascii="Times New Roman" w:hAnsi="Times New Roman" w:cs="Times New Roman"/>
          <w:sz w:val="24"/>
          <w:szCs w:val="24"/>
        </w:rPr>
        <w:t xml:space="preserve"> skladu s Pravilnikom o proračunskom </w:t>
      </w:r>
      <w:r w:rsidR="003A14AF">
        <w:rPr>
          <w:rFonts w:ascii="Times New Roman" w:hAnsi="Times New Roman" w:cs="Times New Roman"/>
          <w:sz w:val="24"/>
          <w:szCs w:val="24"/>
        </w:rPr>
        <w:t>računovodstvu i Računskom planu</w:t>
      </w:r>
      <w:r w:rsidR="00E453F3" w:rsidRPr="00E453F3">
        <w:rPr>
          <w:rFonts w:ascii="Times New Roman" w:hAnsi="Times New Roman" w:cs="Times New Roman"/>
          <w:sz w:val="24"/>
          <w:szCs w:val="24"/>
        </w:rPr>
        <w:t xml:space="preserve">, primljeni kratkoročni krediti i zajmovi koji se vraćaju u istoj godini evidentiraju </w:t>
      </w:r>
      <w:r w:rsidR="003A14AF">
        <w:rPr>
          <w:rFonts w:ascii="Times New Roman" w:hAnsi="Times New Roman" w:cs="Times New Roman"/>
          <w:sz w:val="24"/>
          <w:szCs w:val="24"/>
        </w:rPr>
        <w:t xml:space="preserve">se </w:t>
      </w:r>
      <w:r w:rsidR="00E453F3" w:rsidRPr="00E453F3">
        <w:rPr>
          <w:rFonts w:ascii="Times New Roman" w:hAnsi="Times New Roman" w:cs="Times New Roman"/>
          <w:sz w:val="24"/>
          <w:szCs w:val="24"/>
        </w:rPr>
        <w:t xml:space="preserve">isključivo odobrenjem odgovarajućeg osnovnog računa skupine 26 </w:t>
      </w:r>
      <w:r w:rsidR="00E453F3" w:rsidRPr="00E453F3">
        <w:rPr>
          <w:rFonts w:ascii="Times New Roman" w:hAnsi="Times New Roman" w:cs="Times New Roman"/>
          <w:i/>
          <w:sz w:val="24"/>
          <w:szCs w:val="24"/>
        </w:rPr>
        <w:t>Obveze za kredite i zajmove</w:t>
      </w:r>
      <w:r w:rsidR="00E453F3" w:rsidRPr="00E453F3">
        <w:rPr>
          <w:rFonts w:ascii="Times New Roman" w:hAnsi="Times New Roman" w:cs="Times New Roman"/>
          <w:sz w:val="24"/>
          <w:szCs w:val="24"/>
        </w:rPr>
        <w:t xml:space="preserve"> i zaduže</w:t>
      </w:r>
      <w:r w:rsidR="003A14AF">
        <w:rPr>
          <w:rFonts w:ascii="Times New Roman" w:hAnsi="Times New Roman" w:cs="Times New Roman"/>
          <w:sz w:val="24"/>
          <w:szCs w:val="24"/>
        </w:rPr>
        <w:t>njem računa novčanih sredstava.</w:t>
      </w:r>
    </w:p>
    <w:p w:rsidR="00E453F3" w:rsidRPr="00E453F3" w:rsidRDefault="00E453F3" w:rsidP="00D6581D">
      <w:pPr>
        <w:spacing w:line="240" w:lineRule="auto"/>
        <w:jc w:val="both"/>
        <w:rPr>
          <w:rFonts w:ascii="Times New Roman" w:hAnsi="Times New Roman" w:cs="Times New Roman"/>
          <w:sz w:val="24"/>
          <w:szCs w:val="24"/>
        </w:rPr>
      </w:pPr>
      <w:r w:rsidRPr="00E453F3">
        <w:rPr>
          <w:rFonts w:ascii="Times New Roman" w:hAnsi="Times New Roman" w:cs="Times New Roman"/>
          <w:sz w:val="24"/>
          <w:szCs w:val="24"/>
        </w:rPr>
        <w:t>Kratkoročni zajmovi koji se vraćaju u sljedećoj godini evidentiraju se kao dugoročni krediti odobrenjem računa primitaka od zaduživanja u skupini 84</w:t>
      </w:r>
      <w:r>
        <w:rPr>
          <w:rFonts w:ascii="Times New Roman" w:hAnsi="Times New Roman" w:cs="Times New Roman"/>
          <w:sz w:val="24"/>
          <w:szCs w:val="24"/>
        </w:rPr>
        <w:t xml:space="preserve"> </w:t>
      </w:r>
      <w:r w:rsidRPr="00E453F3">
        <w:rPr>
          <w:rFonts w:ascii="Times New Roman" w:hAnsi="Times New Roman" w:cs="Times New Roman"/>
          <w:i/>
          <w:sz w:val="24"/>
          <w:szCs w:val="24"/>
        </w:rPr>
        <w:t>Primici od</w:t>
      </w:r>
      <w:r>
        <w:rPr>
          <w:rFonts w:ascii="Times New Roman" w:hAnsi="Times New Roman" w:cs="Times New Roman"/>
          <w:sz w:val="24"/>
          <w:szCs w:val="24"/>
        </w:rPr>
        <w:t xml:space="preserve"> </w:t>
      </w:r>
      <w:r w:rsidRPr="00E453F3">
        <w:rPr>
          <w:rFonts w:ascii="Times New Roman" w:hAnsi="Times New Roman" w:cs="Times New Roman"/>
          <w:i/>
          <w:sz w:val="24"/>
          <w:szCs w:val="24"/>
        </w:rPr>
        <w:t>zaduživanja</w:t>
      </w:r>
      <w:r w:rsidRPr="00E453F3">
        <w:rPr>
          <w:rFonts w:ascii="Times New Roman" w:hAnsi="Times New Roman" w:cs="Times New Roman"/>
          <w:sz w:val="24"/>
          <w:szCs w:val="24"/>
        </w:rPr>
        <w:t xml:space="preserve"> i zaduženjem novčanih sredstava te odobravanjem računa obveza za zajmove u skupini 26</w:t>
      </w:r>
      <w:r>
        <w:rPr>
          <w:rFonts w:ascii="Times New Roman" w:hAnsi="Times New Roman" w:cs="Times New Roman"/>
          <w:sz w:val="24"/>
          <w:szCs w:val="24"/>
        </w:rPr>
        <w:t xml:space="preserve"> </w:t>
      </w:r>
      <w:r w:rsidRPr="00E453F3">
        <w:rPr>
          <w:rFonts w:ascii="Times New Roman" w:hAnsi="Times New Roman" w:cs="Times New Roman"/>
          <w:i/>
          <w:sz w:val="24"/>
          <w:szCs w:val="24"/>
        </w:rPr>
        <w:t>Obveze za kredite i zajmove</w:t>
      </w:r>
      <w:r>
        <w:rPr>
          <w:rFonts w:ascii="Times New Roman" w:hAnsi="Times New Roman" w:cs="Times New Roman"/>
          <w:sz w:val="24"/>
          <w:szCs w:val="24"/>
        </w:rPr>
        <w:t xml:space="preserve"> i</w:t>
      </w:r>
      <w:r w:rsidRPr="00E453F3">
        <w:rPr>
          <w:rFonts w:ascii="Times New Roman" w:hAnsi="Times New Roman" w:cs="Times New Roman"/>
          <w:sz w:val="24"/>
          <w:szCs w:val="24"/>
        </w:rPr>
        <w:t xml:space="preserve"> zaduženjem računa ispravka izvora vlasništva u skupini 91</w:t>
      </w:r>
      <w:r>
        <w:rPr>
          <w:rFonts w:ascii="Times New Roman" w:hAnsi="Times New Roman" w:cs="Times New Roman"/>
          <w:sz w:val="24"/>
          <w:szCs w:val="24"/>
        </w:rPr>
        <w:t xml:space="preserve"> </w:t>
      </w:r>
      <w:r w:rsidRPr="00E453F3">
        <w:rPr>
          <w:rFonts w:ascii="Times New Roman" w:hAnsi="Times New Roman" w:cs="Times New Roman"/>
          <w:i/>
          <w:sz w:val="24"/>
          <w:szCs w:val="24"/>
        </w:rPr>
        <w:t>Vlastiti izvori i ispravak vlastitih izvora</w:t>
      </w:r>
      <w:r w:rsidRPr="00E453F3">
        <w:rPr>
          <w:rFonts w:ascii="Times New Roman" w:hAnsi="Times New Roman" w:cs="Times New Roman"/>
          <w:sz w:val="24"/>
          <w:szCs w:val="24"/>
        </w:rPr>
        <w:t>. U slučaju da JLP</w:t>
      </w:r>
      <w:r w:rsidR="00E15145">
        <w:rPr>
          <w:rFonts w:ascii="Times New Roman" w:hAnsi="Times New Roman" w:cs="Times New Roman"/>
          <w:sz w:val="24"/>
          <w:szCs w:val="24"/>
        </w:rPr>
        <w:t>(</w:t>
      </w:r>
      <w:r w:rsidRPr="00E453F3">
        <w:rPr>
          <w:rFonts w:ascii="Times New Roman" w:hAnsi="Times New Roman" w:cs="Times New Roman"/>
          <w:sz w:val="24"/>
          <w:szCs w:val="24"/>
        </w:rPr>
        <w:t>R</w:t>
      </w:r>
      <w:r w:rsidR="00E15145">
        <w:rPr>
          <w:rFonts w:ascii="Times New Roman" w:hAnsi="Times New Roman" w:cs="Times New Roman"/>
          <w:sz w:val="24"/>
          <w:szCs w:val="24"/>
        </w:rPr>
        <w:t>)</w:t>
      </w:r>
      <w:r w:rsidRPr="00E453F3">
        <w:rPr>
          <w:rFonts w:ascii="Times New Roman" w:hAnsi="Times New Roman" w:cs="Times New Roman"/>
          <w:sz w:val="24"/>
          <w:szCs w:val="24"/>
        </w:rPr>
        <w:t>S ne vrati beskamatni zajam do kraja ove godine, za preostali iznos glavnice treba evidentirati primitke od zaduživanja (odobrenjem računa 84711</w:t>
      </w:r>
      <w:r>
        <w:rPr>
          <w:rFonts w:ascii="Times New Roman" w:hAnsi="Times New Roman" w:cs="Times New Roman"/>
          <w:sz w:val="24"/>
          <w:szCs w:val="24"/>
        </w:rPr>
        <w:t xml:space="preserve"> </w:t>
      </w:r>
      <w:r w:rsidRPr="00E453F3">
        <w:rPr>
          <w:rFonts w:ascii="Times New Roman" w:hAnsi="Times New Roman" w:cs="Times New Roman"/>
          <w:i/>
          <w:sz w:val="24"/>
          <w:szCs w:val="24"/>
        </w:rPr>
        <w:t>Primljeni zajmovi od državnog proračuna - kratkoročni</w:t>
      </w:r>
      <w:r w:rsidRPr="00E453F3">
        <w:rPr>
          <w:rFonts w:ascii="Times New Roman" w:hAnsi="Times New Roman" w:cs="Times New Roman"/>
          <w:sz w:val="24"/>
          <w:szCs w:val="24"/>
        </w:rPr>
        <w:t xml:space="preserve"> i zaduženjem računa iz podskupine 912</w:t>
      </w:r>
      <w:r>
        <w:rPr>
          <w:rFonts w:ascii="Times New Roman" w:hAnsi="Times New Roman" w:cs="Times New Roman"/>
          <w:sz w:val="24"/>
          <w:szCs w:val="24"/>
        </w:rPr>
        <w:t xml:space="preserve"> </w:t>
      </w:r>
      <w:r w:rsidRPr="00E453F3">
        <w:rPr>
          <w:rFonts w:ascii="Times New Roman" w:hAnsi="Times New Roman" w:cs="Times New Roman"/>
          <w:i/>
          <w:sz w:val="24"/>
          <w:szCs w:val="24"/>
        </w:rPr>
        <w:t>Ispravak vlastitih izvora za obveze</w:t>
      </w:r>
      <w:r w:rsidRPr="00E453F3">
        <w:rPr>
          <w:rFonts w:ascii="Times New Roman" w:hAnsi="Times New Roman" w:cs="Times New Roman"/>
          <w:sz w:val="24"/>
          <w:szCs w:val="24"/>
        </w:rPr>
        <w:t>), a u sljedećoj godini evidentira otplatu zajma zaduživanjem računa izdataka za otplatu glavnice u skupini 54</w:t>
      </w:r>
      <w:r>
        <w:rPr>
          <w:rFonts w:ascii="Times New Roman" w:hAnsi="Times New Roman" w:cs="Times New Roman"/>
          <w:sz w:val="24"/>
          <w:szCs w:val="24"/>
        </w:rPr>
        <w:t xml:space="preserve"> </w:t>
      </w:r>
      <w:r w:rsidRPr="00E453F3">
        <w:rPr>
          <w:rFonts w:ascii="Times New Roman" w:hAnsi="Times New Roman" w:cs="Times New Roman"/>
          <w:i/>
          <w:sz w:val="24"/>
          <w:szCs w:val="24"/>
        </w:rPr>
        <w:t>Izdaci za otplatu glavnice primljenih kredita i zajmova</w:t>
      </w:r>
      <w:r>
        <w:rPr>
          <w:rFonts w:ascii="Times New Roman" w:hAnsi="Times New Roman" w:cs="Times New Roman"/>
          <w:sz w:val="24"/>
          <w:szCs w:val="24"/>
        </w:rPr>
        <w:t xml:space="preserve"> </w:t>
      </w:r>
      <w:r w:rsidRPr="00E453F3">
        <w:rPr>
          <w:rFonts w:ascii="Times New Roman" w:hAnsi="Times New Roman" w:cs="Times New Roman"/>
          <w:sz w:val="24"/>
          <w:szCs w:val="24"/>
        </w:rPr>
        <w:t>i odobrenjem novčanih sredstava te zaduženjem računa obveza u skupini 26</w:t>
      </w:r>
      <w:r w:rsidRPr="00E453F3">
        <w:rPr>
          <w:rFonts w:ascii="Times New Roman" w:hAnsi="Times New Roman" w:cs="Times New Roman"/>
          <w:i/>
          <w:sz w:val="24"/>
          <w:szCs w:val="24"/>
        </w:rPr>
        <w:t xml:space="preserve"> Obveze za kredite i zajmove</w:t>
      </w:r>
      <w:r w:rsidRPr="00E453F3">
        <w:rPr>
          <w:rFonts w:ascii="Times New Roman" w:hAnsi="Times New Roman" w:cs="Times New Roman"/>
          <w:sz w:val="24"/>
          <w:szCs w:val="24"/>
        </w:rPr>
        <w:t xml:space="preserve"> i odobrenjem računa ispravka</w:t>
      </w:r>
      <w:r>
        <w:rPr>
          <w:rFonts w:ascii="Times New Roman" w:hAnsi="Times New Roman" w:cs="Times New Roman"/>
          <w:sz w:val="24"/>
          <w:szCs w:val="24"/>
        </w:rPr>
        <w:t xml:space="preserve"> izvora vlasništva u skupini 91 </w:t>
      </w:r>
      <w:r w:rsidRPr="00E453F3">
        <w:rPr>
          <w:rFonts w:ascii="Times New Roman" w:hAnsi="Times New Roman" w:cs="Times New Roman"/>
          <w:i/>
          <w:sz w:val="24"/>
          <w:szCs w:val="24"/>
        </w:rPr>
        <w:t>Vlastiti izvori i ispravak vlastitih izvora</w:t>
      </w:r>
      <w:r w:rsidRPr="00E453F3">
        <w:rPr>
          <w:rFonts w:ascii="Times New Roman" w:hAnsi="Times New Roman" w:cs="Times New Roman"/>
          <w:sz w:val="24"/>
          <w:szCs w:val="24"/>
        </w:rPr>
        <w:t>.</w:t>
      </w:r>
    </w:p>
    <w:p w:rsidR="0083086A" w:rsidRPr="003E5136" w:rsidRDefault="00A12EFF" w:rsidP="00D6581D">
      <w:pPr>
        <w:spacing w:line="240" w:lineRule="auto"/>
        <w:jc w:val="both"/>
        <w:rPr>
          <w:rFonts w:ascii="Times New Roman" w:hAnsi="Times New Roman" w:cs="Times New Roman"/>
          <w:sz w:val="24"/>
          <w:szCs w:val="24"/>
        </w:rPr>
      </w:pPr>
      <w:r w:rsidRPr="00A12EFF">
        <w:rPr>
          <w:rFonts w:ascii="Times New Roman" w:hAnsi="Times New Roman" w:cs="Times New Roman"/>
          <w:sz w:val="24"/>
          <w:szCs w:val="24"/>
        </w:rPr>
        <w:t>Ako se</w:t>
      </w:r>
      <w:r w:rsidR="00E453F3" w:rsidRPr="00A12EFF">
        <w:rPr>
          <w:rFonts w:ascii="Times New Roman" w:hAnsi="Times New Roman" w:cs="Times New Roman"/>
          <w:sz w:val="24"/>
          <w:szCs w:val="24"/>
        </w:rPr>
        <w:t xml:space="preserve"> otplata zajma </w:t>
      </w:r>
      <w:r w:rsidR="00850689" w:rsidRPr="00A12EFF">
        <w:rPr>
          <w:rFonts w:ascii="Times New Roman" w:hAnsi="Times New Roman" w:cs="Times New Roman"/>
          <w:sz w:val="24"/>
          <w:szCs w:val="24"/>
        </w:rPr>
        <w:t>ne vrši</w:t>
      </w:r>
      <w:r w:rsidR="00E453F3" w:rsidRPr="00A12EFF">
        <w:rPr>
          <w:rFonts w:ascii="Times New Roman" w:hAnsi="Times New Roman" w:cs="Times New Roman"/>
          <w:sz w:val="24"/>
          <w:szCs w:val="24"/>
        </w:rPr>
        <w:t xml:space="preserve"> doznačivanjem</w:t>
      </w:r>
      <w:r w:rsidR="00E453F3" w:rsidRPr="00E453F3">
        <w:rPr>
          <w:rFonts w:ascii="Times New Roman" w:hAnsi="Times New Roman" w:cs="Times New Roman"/>
          <w:sz w:val="24"/>
          <w:szCs w:val="24"/>
        </w:rPr>
        <w:t xml:space="preserve"> s računa jedinice na račun državnog proračuna, nego „preusmjeravanjem“ naplaćenih prihoda od poreza i prireza za koje je bila odobrena odgoda i/</w:t>
      </w:r>
      <w:r w:rsidR="00850689">
        <w:rPr>
          <w:rFonts w:ascii="Times New Roman" w:hAnsi="Times New Roman" w:cs="Times New Roman"/>
          <w:sz w:val="24"/>
          <w:szCs w:val="24"/>
        </w:rPr>
        <w:t>ili obročna otplata, jedinica</w:t>
      </w:r>
      <w:r w:rsidR="00E453F3" w:rsidRPr="00E453F3">
        <w:rPr>
          <w:rFonts w:ascii="Times New Roman" w:hAnsi="Times New Roman" w:cs="Times New Roman"/>
          <w:sz w:val="24"/>
          <w:szCs w:val="24"/>
        </w:rPr>
        <w:t xml:space="preserve"> umjesto računa</w:t>
      </w:r>
      <w:r w:rsidR="00850689">
        <w:rPr>
          <w:rFonts w:ascii="Times New Roman" w:hAnsi="Times New Roman" w:cs="Times New Roman"/>
          <w:sz w:val="24"/>
          <w:szCs w:val="24"/>
        </w:rPr>
        <w:t xml:space="preserve"> novčanih sredstava evidentira</w:t>
      </w:r>
      <w:r w:rsidR="00E453F3" w:rsidRPr="00E453F3">
        <w:rPr>
          <w:rFonts w:ascii="Times New Roman" w:hAnsi="Times New Roman" w:cs="Times New Roman"/>
          <w:sz w:val="24"/>
          <w:szCs w:val="24"/>
        </w:rPr>
        <w:t xml:space="preserve"> prihode od poreza i prireza na odgovarajućim računima podskupine 611</w:t>
      </w:r>
      <w:r w:rsidR="00E453F3">
        <w:rPr>
          <w:rFonts w:ascii="Times New Roman" w:hAnsi="Times New Roman" w:cs="Times New Roman"/>
          <w:sz w:val="24"/>
          <w:szCs w:val="24"/>
        </w:rPr>
        <w:t xml:space="preserve"> </w:t>
      </w:r>
      <w:r w:rsidR="00E453F3" w:rsidRPr="00E453F3">
        <w:rPr>
          <w:rFonts w:ascii="Times New Roman" w:hAnsi="Times New Roman" w:cs="Times New Roman"/>
          <w:i/>
          <w:sz w:val="24"/>
          <w:szCs w:val="24"/>
        </w:rPr>
        <w:t>Porez i prirez na dohodak</w:t>
      </w:r>
      <w:r w:rsidR="00E453F3" w:rsidRPr="00E453F3">
        <w:rPr>
          <w:rFonts w:ascii="Times New Roman" w:hAnsi="Times New Roman" w:cs="Times New Roman"/>
          <w:sz w:val="24"/>
          <w:szCs w:val="24"/>
        </w:rPr>
        <w:t xml:space="preserve">, a </w:t>
      </w:r>
      <w:r w:rsidR="00850689">
        <w:rPr>
          <w:rFonts w:ascii="Times New Roman" w:hAnsi="Times New Roman" w:cs="Times New Roman"/>
          <w:sz w:val="24"/>
          <w:szCs w:val="24"/>
        </w:rPr>
        <w:t>u skladu s obavijestima koje o tome primi</w:t>
      </w:r>
      <w:r w:rsidR="00E453F3" w:rsidRPr="00E453F3">
        <w:rPr>
          <w:rFonts w:ascii="Times New Roman" w:hAnsi="Times New Roman" w:cs="Times New Roman"/>
          <w:sz w:val="24"/>
          <w:szCs w:val="24"/>
        </w:rPr>
        <w:t xml:space="preserve"> od Fine.</w:t>
      </w:r>
    </w:p>
    <w:p w:rsidR="0083086A" w:rsidRPr="00DB3847" w:rsidRDefault="00DB3847" w:rsidP="00D6581D">
      <w:pPr>
        <w:pStyle w:val="Odlomakpopisa"/>
        <w:numPr>
          <w:ilvl w:val="0"/>
          <w:numId w:val="2"/>
        </w:numPr>
        <w:spacing w:line="240" w:lineRule="auto"/>
        <w:jc w:val="both"/>
        <w:rPr>
          <w:rFonts w:ascii="Times New Roman" w:hAnsi="Times New Roman" w:cs="Times New Roman"/>
          <w:b/>
          <w:sz w:val="24"/>
          <w:szCs w:val="24"/>
        </w:rPr>
      </w:pPr>
      <w:r w:rsidRPr="00DB3847">
        <w:rPr>
          <w:rFonts w:ascii="Times New Roman" w:hAnsi="Times New Roman" w:cs="Times New Roman"/>
          <w:b/>
          <w:sz w:val="24"/>
          <w:szCs w:val="24"/>
        </w:rPr>
        <w:t>Knjigovodstveno evidentiranje</w:t>
      </w:r>
      <w:r w:rsidR="0083086A" w:rsidRPr="00DB3847">
        <w:rPr>
          <w:rFonts w:ascii="Times New Roman" w:hAnsi="Times New Roman" w:cs="Times New Roman"/>
          <w:b/>
          <w:sz w:val="24"/>
          <w:szCs w:val="24"/>
        </w:rPr>
        <w:t xml:space="preserve"> beskamatnog zajma u visini poreza na dohodak i prireza porezu na dohodak čije je plaćanje odgođeno i/ili je odobrena obročna otplata, a u iznosu raspoloživih sredstava državnog proračuna</w:t>
      </w:r>
      <w:r w:rsidR="003A14AF">
        <w:rPr>
          <w:rFonts w:ascii="Times New Roman" w:hAnsi="Times New Roman" w:cs="Times New Roman"/>
          <w:b/>
          <w:sz w:val="24"/>
          <w:szCs w:val="24"/>
        </w:rPr>
        <w:t xml:space="preserve">, čija </w:t>
      </w:r>
      <w:r w:rsidR="00D6581D">
        <w:rPr>
          <w:rFonts w:ascii="Times New Roman" w:hAnsi="Times New Roman" w:cs="Times New Roman"/>
          <w:b/>
          <w:sz w:val="24"/>
          <w:szCs w:val="24"/>
        </w:rPr>
        <w:t>će se otplata izvršiti</w:t>
      </w:r>
      <w:r w:rsidR="003A14AF">
        <w:rPr>
          <w:rFonts w:ascii="Times New Roman" w:hAnsi="Times New Roman" w:cs="Times New Roman"/>
          <w:b/>
          <w:sz w:val="24"/>
          <w:szCs w:val="24"/>
        </w:rPr>
        <w:t xml:space="preserve"> u 2020. godini</w:t>
      </w:r>
    </w:p>
    <w:p w:rsidR="0083086A" w:rsidRPr="00E453F3" w:rsidRDefault="0083086A" w:rsidP="00D6581D">
      <w:pPr>
        <w:spacing w:line="240" w:lineRule="auto"/>
        <w:jc w:val="both"/>
        <w:rPr>
          <w:rFonts w:ascii="Times New Roman" w:hAnsi="Times New Roman" w:cs="Times New Roman"/>
          <w:i/>
          <w:sz w:val="24"/>
          <w:szCs w:val="24"/>
        </w:rPr>
      </w:pPr>
      <w:r w:rsidRPr="00E453F3">
        <w:rPr>
          <w:rFonts w:ascii="Times New Roman" w:hAnsi="Times New Roman" w:cs="Times New Roman"/>
          <w:i/>
          <w:sz w:val="24"/>
          <w:szCs w:val="24"/>
        </w:rPr>
        <w:t xml:space="preserve">Jedinica je 15. svibnja 2020. Ministarstvu financija podnijela zahtjev za beskamatni zajam iz državnog proračuna na obrascu Mfin-zajam. Na temelju podataka koje joj dostavlja Ministarstvo financija </w:t>
      </w:r>
      <w:r w:rsidR="00DB3847" w:rsidRPr="00E453F3">
        <w:rPr>
          <w:rFonts w:ascii="Times New Roman" w:hAnsi="Times New Roman" w:cs="Times New Roman"/>
          <w:i/>
          <w:sz w:val="24"/>
          <w:szCs w:val="24"/>
        </w:rPr>
        <w:t>(podneseni zahtjev</w:t>
      </w:r>
      <w:r w:rsidRPr="00E453F3">
        <w:rPr>
          <w:rFonts w:ascii="Times New Roman" w:hAnsi="Times New Roman" w:cs="Times New Roman"/>
          <w:i/>
          <w:sz w:val="24"/>
          <w:szCs w:val="24"/>
        </w:rPr>
        <w:t xml:space="preserve"> </w:t>
      </w:r>
      <w:r w:rsidR="00DB3847" w:rsidRPr="00E453F3">
        <w:rPr>
          <w:rFonts w:ascii="Times New Roman" w:hAnsi="Times New Roman" w:cs="Times New Roman"/>
          <w:i/>
          <w:sz w:val="24"/>
          <w:szCs w:val="24"/>
        </w:rPr>
        <w:t>jedinice</w:t>
      </w:r>
      <w:r w:rsidRPr="00E453F3">
        <w:rPr>
          <w:rFonts w:ascii="Times New Roman" w:hAnsi="Times New Roman" w:cs="Times New Roman"/>
          <w:i/>
          <w:sz w:val="24"/>
          <w:szCs w:val="24"/>
        </w:rPr>
        <w:t xml:space="preserve"> i pregled odgođenih obveza na ime poreza na dohodak i prireza) Fina je 20. svibnja izvršila isplatu sredstava beskamatnog zajma u visini poreza i prireza čije je plaćanje odgođeno i/ili je odobrena obročna otplata</w:t>
      </w:r>
      <w:r w:rsidR="00DB3847" w:rsidRPr="00E453F3">
        <w:rPr>
          <w:rFonts w:ascii="Times New Roman" w:hAnsi="Times New Roman" w:cs="Times New Roman"/>
          <w:i/>
          <w:sz w:val="24"/>
          <w:szCs w:val="24"/>
        </w:rPr>
        <w:t xml:space="preserve"> (10.000,00 kn)</w:t>
      </w:r>
      <w:r w:rsidRPr="00E453F3">
        <w:rPr>
          <w:rFonts w:ascii="Times New Roman" w:hAnsi="Times New Roman" w:cs="Times New Roman"/>
          <w:i/>
          <w:sz w:val="24"/>
          <w:szCs w:val="24"/>
        </w:rPr>
        <w:t xml:space="preserve"> te je </w:t>
      </w:r>
      <w:r w:rsidR="00DB3847" w:rsidRPr="00E453F3">
        <w:rPr>
          <w:rFonts w:ascii="Times New Roman" w:hAnsi="Times New Roman" w:cs="Times New Roman"/>
          <w:i/>
          <w:sz w:val="24"/>
          <w:szCs w:val="24"/>
        </w:rPr>
        <w:t xml:space="preserve">jedinici </w:t>
      </w:r>
      <w:r w:rsidRPr="00E453F3">
        <w:rPr>
          <w:rFonts w:ascii="Times New Roman" w:hAnsi="Times New Roman" w:cs="Times New Roman"/>
          <w:i/>
          <w:sz w:val="24"/>
          <w:szCs w:val="24"/>
        </w:rPr>
        <w:t>dostavila obavijest e-mailom o navedenom.</w:t>
      </w:r>
    </w:p>
    <w:p w:rsidR="0083086A" w:rsidRPr="00E453F3" w:rsidRDefault="0083086A" w:rsidP="00D6581D">
      <w:pPr>
        <w:spacing w:line="240" w:lineRule="auto"/>
        <w:jc w:val="both"/>
        <w:rPr>
          <w:rFonts w:ascii="Times New Roman" w:hAnsi="Times New Roman" w:cs="Times New Roman"/>
          <w:i/>
          <w:sz w:val="24"/>
          <w:szCs w:val="24"/>
        </w:rPr>
      </w:pPr>
      <w:r w:rsidRPr="00E453F3">
        <w:rPr>
          <w:rFonts w:ascii="Times New Roman" w:hAnsi="Times New Roman" w:cs="Times New Roman"/>
          <w:i/>
          <w:sz w:val="24"/>
          <w:szCs w:val="24"/>
        </w:rPr>
        <w:t xml:space="preserve">Prema Naputku, povrat ove </w:t>
      </w:r>
      <w:r w:rsidR="00E453F3">
        <w:rPr>
          <w:rFonts w:ascii="Times New Roman" w:hAnsi="Times New Roman" w:cs="Times New Roman"/>
          <w:i/>
          <w:sz w:val="24"/>
          <w:szCs w:val="24"/>
        </w:rPr>
        <w:t>vrste beskamatnog zajma vrši</w:t>
      </w:r>
      <w:r w:rsidRPr="00E453F3">
        <w:rPr>
          <w:rFonts w:ascii="Times New Roman" w:hAnsi="Times New Roman" w:cs="Times New Roman"/>
          <w:i/>
          <w:sz w:val="24"/>
          <w:szCs w:val="24"/>
        </w:rPr>
        <w:t xml:space="preserve"> se sukcesivno u visini naplate odgođenog i/ili obročnom otplatom danog poreza i prireza, na način sličan onom propisanom Naputkom o načinu uplaćivanja prihoda proračuna, obveznih doprinosa te prihoda za financiranje drugih javnih potreba u 2020. godini</w:t>
      </w:r>
      <w:r w:rsidR="00DB3847" w:rsidRPr="00E453F3">
        <w:rPr>
          <w:i/>
        </w:rPr>
        <w:t xml:space="preserve"> </w:t>
      </w:r>
      <w:r w:rsidR="00DB3847" w:rsidRPr="00E453F3">
        <w:rPr>
          <w:rFonts w:ascii="Times New Roman" w:hAnsi="Times New Roman" w:cs="Times New Roman"/>
          <w:i/>
          <w:sz w:val="24"/>
          <w:szCs w:val="24"/>
        </w:rPr>
        <w:t xml:space="preserve">(Narodne novine, br. 6/20 i </w:t>
      </w:r>
      <w:r w:rsidR="00DB3847" w:rsidRPr="00E453F3">
        <w:rPr>
          <w:rFonts w:ascii="Times New Roman" w:hAnsi="Times New Roman" w:cs="Times New Roman"/>
          <w:i/>
          <w:sz w:val="24"/>
          <w:szCs w:val="24"/>
        </w:rPr>
        <w:lastRenderedPageBreak/>
        <w:t>67/20)</w:t>
      </w:r>
      <w:r w:rsidRPr="00E453F3">
        <w:rPr>
          <w:rFonts w:ascii="Times New Roman" w:hAnsi="Times New Roman" w:cs="Times New Roman"/>
          <w:i/>
          <w:sz w:val="24"/>
          <w:szCs w:val="24"/>
        </w:rPr>
        <w:t>.</w:t>
      </w:r>
      <w:r w:rsidR="00D6581D">
        <w:rPr>
          <w:rFonts w:ascii="Times New Roman" w:hAnsi="Times New Roman" w:cs="Times New Roman"/>
          <w:i/>
          <w:sz w:val="24"/>
          <w:szCs w:val="24"/>
        </w:rPr>
        <w:t xml:space="preserve"> Jedinica</w:t>
      </w:r>
      <w:r w:rsidR="00DB3847" w:rsidRPr="00E453F3">
        <w:rPr>
          <w:rFonts w:ascii="Times New Roman" w:hAnsi="Times New Roman" w:cs="Times New Roman"/>
          <w:i/>
          <w:sz w:val="24"/>
          <w:szCs w:val="24"/>
        </w:rPr>
        <w:t xml:space="preserve"> u</w:t>
      </w:r>
      <w:r w:rsidR="00D6581D">
        <w:rPr>
          <w:rFonts w:ascii="Times New Roman" w:hAnsi="Times New Roman" w:cs="Times New Roman"/>
          <w:i/>
          <w:sz w:val="24"/>
          <w:szCs w:val="24"/>
        </w:rPr>
        <w:t xml:space="preserve"> srpnju 2020. godini otplaćuje 1.2</w:t>
      </w:r>
      <w:r w:rsidR="00DB3847" w:rsidRPr="00E453F3">
        <w:rPr>
          <w:rFonts w:ascii="Times New Roman" w:hAnsi="Times New Roman" w:cs="Times New Roman"/>
          <w:i/>
          <w:sz w:val="24"/>
          <w:szCs w:val="24"/>
        </w:rPr>
        <w:t>00,00 kn dobivenog zajma</w:t>
      </w:r>
      <w:r w:rsidR="00D6581D">
        <w:rPr>
          <w:rFonts w:ascii="Times New Roman" w:hAnsi="Times New Roman" w:cs="Times New Roman"/>
          <w:i/>
          <w:sz w:val="24"/>
          <w:szCs w:val="24"/>
        </w:rPr>
        <w:t>, u kolovozu, 1.600,00 kn, u rujnu 3.200,00 kn, u listopadu 2.800,00 kn i u studenom 1.200,00 kn</w:t>
      </w:r>
      <w:r w:rsidR="00DB3847" w:rsidRPr="00E453F3">
        <w:rPr>
          <w:rFonts w:ascii="Times New Roman" w:hAnsi="Times New Roman" w:cs="Times New Roman"/>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161"/>
        <w:gridCol w:w="1617"/>
        <w:gridCol w:w="1702"/>
      </w:tblGrid>
      <w:tr w:rsidR="0083086A" w:rsidRPr="003E5136" w:rsidTr="00E1003A">
        <w:trPr>
          <w:trHeight w:hRule="exact" w:val="301"/>
        </w:trPr>
        <w:tc>
          <w:tcPr>
            <w:tcW w:w="2576" w:type="pct"/>
            <w:vMerge w:val="restar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OPIS</w:t>
            </w:r>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IZNOS</w:t>
            </w:r>
          </w:p>
        </w:tc>
        <w:tc>
          <w:tcPr>
            <w:tcW w:w="1796" w:type="pct"/>
            <w:gridSpan w:val="2"/>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RAČUN</w:t>
            </w:r>
          </w:p>
        </w:tc>
      </w:tr>
      <w:tr w:rsidR="0083086A" w:rsidRPr="003E5136" w:rsidTr="00E1003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center"/>
              <w:rPr>
                <w:rFonts w:ascii="Times New Roman" w:eastAsia="Calibri" w:hAnsi="Times New Roman" w:cs="Times New Roman"/>
                <w:b/>
                <w:bCs/>
                <w:sz w:val="24"/>
                <w:szCs w:val="24"/>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center"/>
              <w:rPr>
                <w:rFonts w:ascii="Times New Roman" w:eastAsia="Calibri" w:hAnsi="Times New Roman" w:cs="Times New Roman"/>
                <w:b/>
                <w:bCs/>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DUGUJE</w:t>
            </w:r>
          </w:p>
        </w:tc>
        <w:tc>
          <w:tcPr>
            <w:tcW w:w="921" w:type="pc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POTRAŽUJE</w:t>
            </w:r>
          </w:p>
        </w:tc>
      </w:tr>
      <w:tr w:rsidR="0083086A"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1. sredstva beskamatnog zajma uplaćena na račun JLP</w:t>
            </w:r>
            <w:r w:rsidR="00E15145">
              <w:rPr>
                <w:rFonts w:ascii="Times New Roman" w:eastAsia="Calibri" w:hAnsi="Times New Roman" w:cs="Times New Roman"/>
                <w:sz w:val="24"/>
                <w:szCs w:val="24"/>
              </w:rPr>
              <w:t>(</w:t>
            </w:r>
            <w:r w:rsidRPr="003E5136">
              <w:rPr>
                <w:rFonts w:ascii="Times New Roman" w:eastAsia="Calibri" w:hAnsi="Times New Roman" w:cs="Times New Roman"/>
                <w:sz w:val="24"/>
                <w:szCs w:val="24"/>
              </w:rPr>
              <w:t>R</w:t>
            </w:r>
            <w:r w:rsidR="00E15145">
              <w:rPr>
                <w:rFonts w:ascii="Times New Roman" w:eastAsia="Calibri" w:hAnsi="Times New Roman" w:cs="Times New Roman"/>
                <w:sz w:val="24"/>
                <w:szCs w:val="24"/>
              </w:rPr>
              <w:t>)</w:t>
            </w:r>
            <w:r w:rsidRPr="003E5136">
              <w:rPr>
                <w:rFonts w:ascii="Times New Roman" w:eastAsia="Calibri" w:hAnsi="Times New Roman" w:cs="Times New Roman"/>
                <w:sz w:val="24"/>
                <w:szCs w:val="24"/>
              </w:rPr>
              <w:t>S</w:t>
            </w: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10.000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11121</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83086A"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2. otplata zajma</w:t>
            </w:r>
            <w:r w:rsidR="00D6581D">
              <w:rPr>
                <w:rFonts w:ascii="Times New Roman" w:eastAsia="Calibri" w:hAnsi="Times New Roman" w:cs="Times New Roman"/>
                <w:sz w:val="24"/>
                <w:szCs w:val="24"/>
              </w:rPr>
              <w:t xml:space="preserve"> u srpnju</w:t>
            </w:r>
            <w:r w:rsidRPr="003E5136">
              <w:rPr>
                <w:rFonts w:ascii="Times New Roman" w:eastAsia="Calibri" w:hAnsi="Times New Roman" w:cs="Times New Roman"/>
                <w:sz w:val="24"/>
                <w:szCs w:val="24"/>
              </w:rPr>
              <w:t xml:space="preserve"> (prema obavijesti Fine</w:t>
            </w:r>
            <w:r w:rsidR="00D6581D">
              <w:rPr>
                <w:rFonts w:ascii="Times New Roman" w:eastAsia="Calibri" w:hAnsi="Times New Roman" w:cs="Times New Roman"/>
                <w:sz w:val="24"/>
                <w:szCs w:val="24"/>
              </w:rPr>
              <w:t>)</w:t>
            </w: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D6581D" w:rsidP="009A42BF">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0083086A" w:rsidRPr="003E5136">
              <w:rPr>
                <w:rFonts w:ascii="Times New Roman" w:eastAsia="Calibri" w:hAnsi="Times New Roman" w:cs="Times New Roman"/>
                <w:bCs/>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w:t>
            </w:r>
          </w:p>
        </w:tc>
      </w:tr>
      <w:tr w:rsidR="00D6581D"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tcPr>
          <w:p w:rsidR="00D6581D" w:rsidRPr="003E5136" w:rsidRDefault="00D6581D" w:rsidP="009A42BF">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E5136">
              <w:rPr>
                <w:rFonts w:ascii="Times New Roman" w:eastAsia="Calibri" w:hAnsi="Times New Roman" w:cs="Times New Roman"/>
                <w:sz w:val="24"/>
                <w:szCs w:val="24"/>
              </w:rPr>
              <w:t>. otplata zajma</w:t>
            </w:r>
            <w:r>
              <w:rPr>
                <w:rFonts w:ascii="Times New Roman" w:eastAsia="Calibri" w:hAnsi="Times New Roman" w:cs="Times New Roman"/>
                <w:sz w:val="24"/>
                <w:szCs w:val="24"/>
              </w:rPr>
              <w:t xml:space="preserve"> u kolovozu</w:t>
            </w:r>
            <w:r w:rsidRPr="003E5136">
              <w:rPr>
                <w:rFonts w:ascii="Times New Roman" w:eastAsia="Calibri" w:hAnsi="Times New Roman" w:cs="Times New Roman"/>
                <w:sz w:val="24"/>
                <w:szCs w:val="24"/>
              </w:rPr>
              <w:t xml:space="preserve"> (prema obavijesti Fine</w:t>
            </w:r>
            <w:r>
              <w:rPr>
                <w:rFonts w:ascii="Times New Roman" w:eastAsia="Calibri" w:hAnsi="Times New Roman" w:cs="Times New Roman"/>
                <w:sz w:val="24"/>
                <w:szCs w:val="24"/>
              </w:rPr>
              <w:t>)</w:t>
            </w:r>
          </w:p>
        </w:tc>
        <w:tc>
          <w:tcPr>
            <w:tcW w:w="628" w:type="pct"/>
            <w:tcBorders>
              <w:top w:val="single" w:sz="4" w:space="0" w:color="auto"/>
              <w:left w:val="single" w:sz="4" w:space="0" w:color="auto"/>
              <w:bottom w:val="single" w:sz="4" w:space="0" w:color="auto"/>
              <w:right w:val="single" w:sz="4" w:space="0" w:color="auto"/>
            </w:tcBorders>
            <w:vAlign w:val="center"/>
          </w:tcPr>
          <w:p w:rsidR="00D6581D" w:rsidRDefault="00D6581D" w:rsidP="009A42BF">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1.600</w:t>
            </w:r>
          </w:p>
        </w:tc>
        <w:tc>
          <w:tcPr>
            <w:tcW w:w="875" w:type="pct"/>
            <w:tcBorders>
              <w:top w:val="single" w:sz="4" w:space="0" w:color="auto"/>
              <w:left w:val="single" w:sz="4" w:space="0" w:color="auto"/>
              <w:bottom w:val="single" w:sz="4" w:space="0" w:color="auto"/>
              <w:right w:val="single" w:sz="4" w:space="0" w:color="auto"/>
            </w:tcBorders>
            <w:vAlign w:val="center"/>
          </w:tcPr>
          <w:p w:rsidR="00D6581D" w:rsidRPr="003E5136" w:rsidRDefault="00D6581D" w:rsidP="009A42B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26711</w:t>
            </w:r>
          </w:p>
        </w:tc>
        <w:tc>
          <w:tcPr>
            <w:tcW w:w="921" w:type="pct"/>
            <w:tcBorders>
              <w:top w:val="single" w:sz="4" w:space="0" w:color="auto"/>
              <w:left w:val="single" w:sz="4" w:space="0" w:color="auto"/>
              <w:bottom w:val="single" w:sz="4" w:space="0" w:color="auto"/>
              <w:right w:val="single" w:sz="4" w:space="0" w:color="auto"/>
            </w:tcBorders>
            <w:vAlign w:val="center"/>
          </w:tcPr>
          <w:p w:rsidR="00D6581D" w:rsidRPr="003E5136" w:rsidRDefault="00D6581D" w:rsidP="009A42B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w:t>
            </w:r>
          </w:p>
        </w:tc>
      </w:tr>
      <w:tr w:rsidR="00D6581D"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tcPr>
          <w:p w:rsidR="00D6581D" w:rsidRDefault="00D6581D" w:rsidP="009A42BF">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8" w:type="pct"/>
            <w:tcBorders>
              <w:top w:val="single" w:sz="4" w:space="0" w:color="auto"/>
              <w:left w:val="single" w:sz="4" w:space="0" w:color="auto"/>
              <w:bottom w:val="single" w:sz="4" w:space="0" w:color="auto"/>
              <w:right w:val="single" w:sz="4" w:space="0" w:color="auto"/>
            </w:tcBorders>
            <w:vAlign w:val="center"/>
          </w:tcPr>
          <w:p w:rsidR="00D6581D" w:rsidRDefault="00D6581D" w:rsidP="009A42BF">
            <w:pPr>
              <w:keepLines/>
              <w:spacing w:after="0" w:line="240" w:lineRule="auto"/>
              <w:jc w:val="right"/>
              <w:rPr>
                <w:rFonts w:ascii="Times New Roman" w:eastAsia="Calibri" w:hAnsi="Times New Roman" w:cs="Times New Roman"/>
                <w:bCs/>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D6581D" w:rsidRPr="003E5136" w:rsidRDefault="00D6581D" w:rsidP="009A42BF">
            <w:pPr>
              <w:keepLines/>
              <w:spacing w:after="0" w:line="240" w:lineRule="auto"/>
              <w:jc w:val="center"/>
              <w:rPr>
                <w:rFonts w:ascii="Times New Roman" w:eastAsia="Calibri" w:hAnsi="Times New Roman" w:cs="Times New Roman"/>
                <w:sz w:val="24"/>
                <w:szCs w:val="24"/>
              </w:rPr>
            </w:pPr>
          </w:p>
        </w:tc>
        <w:tc>
          <w:tcPr>
            <w:tcW w:w="921" w:type="pct"/>
            <w:tcBorders>
              <w:top w:val="single" w:sz="4" w:space="0" w:color="auto"/>
              <w:left w:val="single" w:sz="4" w:space="0" w:color="auto"/>
              <w:bottom w:val="single" w:sz="4" w:space="0" w:color="auto"/>
              <w:right w:val="single" w:sz="4" w:space="0" w:color="auto"/>
            </w:tcBorders>
            <w:vAlign w:val="center"/>
          </w:tcPr>
          <w:p w:rsidR="00D6581D" w:rsidRPr="003E5136" w:rsidRDefault="00D6581D" w:rsidP="009A42BF">
            <w:pPr>
              <w:keepLines/>
              <w:spacing w:after="0" w:line="240" w:lineRule="auto"/>
              <w:jc w:val="center"/>
              <w:rPr>
                <w:rFonts w:ascii="Times New Roman" w:eastAsia="Calibri" w:hAnsi="Times New Roman" w:cs="Times New Roman"/>
                <w:sz w:val="24"/>
                <w:szCs w:val="24"/>
              </w:rPr>
            </w:pPr>
          </w:p>
        </w:tc>
      </w:tr>
    </w:tbl>
    <w:p w:rsidR="0083086A" w:rsidRPr="003E5136" w:rsidRDefault="0083086A" w:rsidP="0083086A">
      <w:pPr>
        <w:spacing w:line="360" w:lineRule="auto"/>
        <w:jc w:val="both"/>
        <w:rPr>
          <w:rFonts w:ascii="Times New Roman" w:hAnsi="Times New Roman" w:cs="Times New Roman"/>
          <w:sz w:val="24"/>
          <w:szCs w:val="24"/>
        </w:rPr>
      </w:pPr>
    </w:p>
    <w:p w:rsidR="00D6581D" w:rsidRDefault="00D6581D" w:rsidP="00D6581D">
      <w:pPr>
        <w:pStyle w:val="Odlomakpopisa"/>
        <w:numPr>
          <w:ilvl w:val="0"/>
          <w:numId w:val="2"/>
        </w:numPr>
        <w:spacing w:line="240" w:lineRule="auto"/>
        <w:jc w:val="both"/>
        <w:rPr>
          <w:rFonts w:ascii="Times New Roman" w:hAnsi="Times New Roman" w:cs="Times New Roman"/>
          <w:b/>
          <w:sz w:val="24"/>
          <w:szCs w:val="24"/>
        </w:rPr>
      </w:pPr>
      <w:r w:rsidRPr="00DB3847">
        <w:rPr>
          <w:rFonts w:ascii="Times New Roman" w:hAnsi="Times New Roman" w:cs="Times New Roman"/>
          <w:b/>
          <w:sz w:val="24"/>
          <w:szCs w:val="24"/>
        </w:rPr>
        <w:t>Knjigovodstveno evidentiranje beskamatnog zajma u visini poreza na dohodak i prireza porezu na dohodak čije je plaćanje odgođeno i/ili je odobrena obročna otplata, a u iznosu raspoloživih sredstava državnog proračuna</w:t>
      </w:r>
      <w:r>
        <w:rPr>
          <w:rFonts w:ascii="Times New Roman" w:hAnsi="Times New Roman" w:cs="Times New Roman"/>
          <w:b/>
          <w:sz w:val="24"/>
          <w:szCs w:val="24"/>
        </w:rPr>
        <w:t>, čija se otplata izvršava u 2020. i 2021. godini (otplata djelomično prelazi u 2021. godinu)</w:t>
      </w:r>
    </w:p>
    <w:p w:rsidR="009A42BF" w:rsidRPr="009A42BF" w:rsidRDefault="009A42BF" w:rsidP="009A42BF">
      <w:pPr>
        <w:spacing w:line="240" w:lineRule="auto"/>
        <w:jc w:val="both"/>
        <w:rPr>
          <w:rFonts w:ascii="Times New Roman" w:hAnsi="Times New Roman" w:cs="Times New Roman"/>
          <w:i/>
          <w:sz w:val="24"/>
          <w:szCs w:val="24"/>
        </w:rPr>
      </w:pPr>
      <w:r w:rsidRPr="009A42BF">
        <w:rPr>
          <w:rFonts w:ascii="Times New Roman" w:hAnsi="Times New Roman" w:cs="Times New Roman"/>
          <w:i/>
          <w:sz w:val="24"/>
          <w:szCs w:val="24"/>
        </w:rPr>
        <w:t>Jedinica je 15. svibnja 2020. Ministarstvu financija podnijela zahtjev za beskamatni zajam iz državnog proračuna na obrascu Mfin-zajam. Na temelju podataka koje joj dostavlja Ministarstvo financija (podneseni zahtjev jedinice i pregled odgođenih obveza na ime poreza na dohodak i prireza) Fina je 20. svibnja izvršila isplatu sredstava beskamatnog zajma u visini poreza i prireza čije je plaćanje odgođeno i/ili je odobrena obročna otplata (10.000,00 kn) te je jedinici dostavila obavijest e-mailom o navedenom.</w:t>
      </w:r>
    </w:p>
    <w:p w:rsidR="003A14AF" w:rsidRDefault="009A42BF" w:rsidP="00C012BB">
      <w:pPr>
        <w:spacing w:line="240" w:lineRule="auto"/>
        <w:jc w:val="both"/>
        <w:rPr>
          <w:rFonts w:ascii="Times New Roman" w:hAnsi="Times New Roman" w:cs="Times New Roman"/>
          <w:i/>
          <w:sz w:val="24"/>
          <w:szCs w:val="24"/>
        </w:rPr>
      </w:pPr>
      <w:r w:rsidRPr="009A42BF">
        <w:rPr>
          <w:rFonts w:ascii="Times New Roman" w:hAnsi="Times New Roman" w:cs="Times New Roman"/>
          <w:i/>
          <w:sz w:val="24"/>
          <w:szCs w:val="24"/>
        </w:rPr>
        <w:t xml:space="preserve">Jedinica u srpnju 2020. godini otplaćuje </w:t>
      </w:r>
      <w:r>
        <w:rPr>
          <w:rFonts w:ascii="Times New Roman" w:hAnsi="Times New Roman" w:cs="Times New Roman"/>
          <w:i/>
          <w:sz w:val="24"/>
          <w:szCs w:val="24"/>
        </w:rPr>
        <w:t>800</w:t>
      </w:r>
      <w:r w:rsidRPr="009A42BF">
        <w:rPr>
          <w:rFonts w:ascii="Times New Roman" w:hAnsi="Times New Roman" w:cs="Times New Roman"/>
          <w:i/>
          <w:sz w:val="24"/>
          <w:szCs w:val="24"/>
        </w:rPr>
        <w:t>,00 kn dobivenog zajma</w:t>
      </w:r>
      <w:r>
        <w:rPr>
          <w:rFonts w:ascii="Times New Roman" w:hAnsi="Times New Roman" w:cs="Times New Roman"/>
          <w:i/>
          <w:sz w:val="24"/>
          <w:szCs w:val="24"/>
        </w:rPr>
        <w:t xml:space="preserve">, u kolovozu, 1.000,00 kn, u rujnu 1.100,00 kn, u listopadu 1.000,00 kn, </w:t>
      </w:r>
      <w:r w:rsidRPr="009A42BF">
        <w:rPr>
          <w:rFonts w:ascii="Times New Roman" w:hAnsi="Times New Roman" w:cs="Times New Roman"/>
          <w:i/>
          <w:sz w:val="24"/>
          <w:szCs w:val="24"/>
        </w:rPr>
        <w:t>u studenom 1.200,</w:t>
      </w:r>
      <w:r>
        <w:rPr>
          <w:rFonts w:ascii="Times New Roman" w:hAnsi="Times New Roman" w:cs="Times New Roman"/>
          <w:i/>
          <w:sz w:val="24"/>
          <w:szCs w:val="24"/>
        </w:rPr>
        <w:t>00</w:t>
      </w:r>
      <w:r w:rsidRPr="009A42BF">
        <w:rPr>
          <w:rFonts w:ascii="Times New Roman" w:hAnsi="Times New Roman" w:cs="Times New Roman"/>
          <w:i/>
          <w:sz w:val="24"/>
          <w:szCs w:val="24"/>
        </w:rPr>
        <w:t xml:space="preserve"> kn</w:t>
      </w:r>
      <w:r>
        <w:rPr>
          <w:rFonts w:ascii="Times New Roman" w:hAnsi="Times New Roman" w:cs="Times New Roman"/>
          <w:i/>
          <w:sz w:val="24"/>
          <w:szCs w:val="24"/>
        </w:rPr>
        <w:t xml:space="preserve"> i u prosincu 1.300,00 kn</w:t>
      </w:r>
      <w:r w:rsidRPr="009A42BF">
        <w:rPr>
          <w:rFonts w:ascii="Times New Roman" w:hAnsi="Times New Roman" w:cs="Times New Roman"/>
          <w:i/>
          <w:sz w:val="24"/>
          <w:szCs w:val="24"/>
        </w:rPr>
        <w:t>.</w:t>
      </w:r>
      <w:r>
        <w:rPr>
          <w:rFonts w:ascii="Times New Roman" w:hAnsi="Times New Roman" w:cs="Times New Roman"/>
          <w:i/>
          <w:sz w:val="24"/>
          <w:szCs w:val="24"/>
        </w:rPr>
        <w:t xml:space="preserve"> U 2021. jedinica otplaćuje preostali iznos zajma u iznosu od 3.600,00 kn.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157"/>
        <w:gridCol w:w="1614"/>
        <w:gridCol w:w="1713"/>
      </w:tblGrid>
      <w:tr w:rsidR="00AB0322" w:rsidRPr="003E5136" w:rsidTr="00AB0322">
        <w:trPr>
          <w:trHeight w:hRule="exact" w:val="301"/>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OPIS</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IZNOS</w:t>
            </w:r>
          </w:p>
        </w:tc>
        <w:tc>
          <w:tcPr>
            <w:tcW w:w="1800" w:type="pct"/>
            <w:gridSpan w:val="2"/>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RAČUN</w:t>
            </w:r>
          </w:p>
        </w:tc>
      </w:tr>
      <w:tr w:rsidR="00AB0322" w:rsidRPr="003E5136" w:rsidTr="00AB0322">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Lines/>
              <w:spacing w:after="0" w:line="240" w:lineRule="auto"/>
              <w:jc w:val="center"/>
              <w:rPr>
                <w:rFonts w:ascii="Times New Roman" w:eastAsia="Calibri" w:hAnsi="Times New Roman" w:cs="Times New Roman"/>
                <w:b/>
                <w:bCs/>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Lines/>
              <w:spacing w:after="0" w:line="240" w:lineRule="auto"/>
              <w:jc w:val="center"/>
              <w:rPr>
                <w:rFonts w:ascii="Times New Roman" w:eastAsia="Calibri" w:hAnsi="Times New Roman" w:cs="Times New Roman"/>
                <w:b/>
                <w:bCs/>
                <w:sz w:val="24"/>
                <w:szCs w:val="24"/>
              </w:rPr>
            </w:pPr>
          </w:p>
        </w:tc>
        <w:tc>
          <w:tcPr>
            <w:tcW w:w="873" w:type="pct"/>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DUGUJE</w:t>
            </w:r>
          </w:p>
        </w:tc>
        <w:tc>
          <w:tcPr>
            <w:tcW w:w="927" w:type="pct"/>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POTRAŽUJE</w:t>
            </w:r>
          </w:p>
        </w:tc>
      </w:tr>
      <w:tr w:rsidR="00AB0322" w:rsidRPr="003E5136" w:rsidTr="00AB0322">
        <w:trPr>
          <w:trHeight w:val="340"/>
        </w:trPr>
        <w:tc>
          <w:tcPr>
            <w:tcW w:w="2574" w:type="pct"/>
            <w:tcBorders>
              <w:top w:val="single" w:sz="4" w:space="0" w:color="auto"/>
              <w:left w:val="single" w:sz="4" w:space="0" w:color="auto"/>
              <w:bottom w:val="single" w:sz="4" w:space="0" w:color="auto"/>
              <w:right w:val="single" w:sz="4" w:space="0" w:color="auto"/>
            </w:tcBorders>
            <w:vAlign w:val="center"/>
            <w:hideMark/>
          </w:tcPr>
          <w:p w:rsidR="00AB0322" w:rsidRPr="003E5136" w:rsidRDefault="00AB0322" w:rsidP="00E1003A">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1. sredstva beskamatnog zajma uplaćena na račun JLP</w:t>
            </w:r>
            <w:r>
              <w:rPr>
                <w:rFonts w:ascii="Times New Roman" w:eastAsia="Calibri" w:hAnsi="Times New Roman" w:cs="Times New Roman"/>
                <w:sz w:val="24"/>
                <w:szCs w:val="24"/>
              </w:rPr>
              <w:t>(</w:t>
            </w:r>
            <w:r w:rsidRPr="003E5136">
              <w:rPr>
                <w:rFonts w:ascii="Times New Roman" w:eastAsia="Calibri" w:hAnsi="Times New Roman" w:cs="Times New Roman"/>
                <w:sz w:val="24"/>
                <w:szCs w:val="24"/>
              </w:rPr>
              <w:t>R</w:t>
            </w:r>
            <w:r>
              <w:rPr>
                <w:rFonts w:ascii="Times New Roman" w:eastAsia="Calibri" w:hAnsi="Times New Roman" w:cs="Times New Roman"/>
                <w:sz w:val="24"/>
                <w:szCs w:val="24"/>
              </w:rPr>
              <w:t>)</w:t>
            </w:r>
            <w:r w:rsidRPr="003E5136">
              <w:rPr>
                <w:rFonts w:ascii="Times New Roman" w:eastAsia="Calibri" w:hAnsi="Times New Roman" w:cs="Times New Roman"/>
                <w:sz w:val="24"/>
                <w:szCs w:val="24"/>
              </w:rPr>
              <w:t>S</w:t>
            </w:r>
          </w:p>
        </w:tc>
        <w:tc>
          <w:tcPr>
            <w:tcW w:w="626"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10.000</w:t>
            </w:r>
          </w:p>
        </w:tc>
        <w:tc>
          <w:tcPr>
            <w:tcW w:w="873"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11121</w:t>
            </w:r>
          </w:p>
        </w:tc>
        <w:tc>
          <w:tcPr>
            <w:tcW w:w="927"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AB0322" w:rsidRPr="003E5136" w:rsidTr="00AB0322">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2. otplata zajma</w:t>
            </w:r>
            <w:r>
              <w:rPr>
                <w:rFonts w:ascii="Times New Roman" w:eastAsia="Calibri" w:hAnsi="Times New Roman" w:cs="Times New Roman"/>
                <w:sz w:val="24"/>
                <w:szCs w:val="24"/>
              </w:rPr>
              <w:t xml:space="preserve"> u srpnju</w:t>
            </w:r>
            <w:r w:rsidRPr="003E5136">
              <w:rPr>
                <w:rFonts w:ascii="Times New Roman" w:eastAsia="Calibri" w:hAnsi="Times New Roman" w:cs="Times New Roman"/>
                <w:sz w:val="24"/>
                <w:szCs w:val="24"/>
              </w:rPr>
              <w:t xml:space="preserve"> (prema obavijesti Fine</w:t>
            </w:r>
            <w:r>
              <w:rPr>
                <w:rFonts w:ascii="Times New Roman" w:eastAsia="Calibri" w:hAnsi="Times New Roman" w:cs="Times New Roman"/>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800</w:t>
            </w:r>
          </w:p>
        </w:tc>
        <w:tc>
          <w:tcPr>
            <w:tcW w:w="873"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c>
          <w:tcPr>
            <w:tcW w:w="927"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w:t>
            </w:r>
          </w:p>
        </w:tc>
      </w:tr>
      <w:tr w:rsidR="00AB0322" w:rsidRPr="003E5136" w:rsidTr="00AB0322">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E5136">
              <w:rPr>
                <w:rFonts w:ascii="Times New Roman" w:eastAsia="Calibri" w:hAnsi="Times New Roman" w:cs="Times New Roman"/>
                <w:sz w:val="24"/>
                <w:szCs w:val="24"/>
              </w:rPr>
              <w:t>. otplata zajma</w:t>
            </w:r>
            <w:r>
              <w:rPr>
                <w:rFonts w:ascii="Times New Roman" w:eastAsia="Calibri" w:hAnsi="Times New Roman" w:cs="Times New Roman"/>
                <w:sz w:val="24"/>
                <w:szCs w:val="24"/>
              </w:rPr>
              <w:t xml:space="preserve"> u kolovozu</w:t>
            </w:r>
            <w:r w:rsidRPr="003E5136">
              <w:rPr>
                <w:rFonts w:ascii="Times New Roman" w:eastAsia="Calibri" w:hAnsi="Times New Roman" w:cs="Times New Roman"/>
                <w:sz w:val="24"/>
                <w:szCs w:val="24"/>
              </w:rPr>
              <w:t xml:space="preserve"> (prema obavijesti Fine</w:t>
            </w:r>
            <w:r>
              <w:rPr>
                <w:rFonts w:ascii="Times New Roman" w:eastAsia="Calibri" w:hAnsi="Times New Roman" w:cs="Times New Roman"/>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AB0322" w:rsidRDefault="00AB0322" w:rsidP="00AB0322">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1.000</w:t>
            </w:r>
          </w:p>
        </w:tc>
        <w:tc>
          <w:tcPr>
            <w:tcW w:w="873"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26711</w:t>
            </w:r>
          </w:p>
        </w:tc>
        <w:tc>
          <w:tcPr>
            <w:tcW w:w="927"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w:t>
            </w:r>
          </w:p>
        </w:tc>
      </w:tr>
      <w:tr w:rsidR="00AB0322" w:rsidRPr="003E5136" w:rsidTr="00AB0322">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AB0322" w:rsidRDefault="00AB0322" w:rsidP="00E1003A">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AB0322" w:rsidRDefault="00AB0322" w:rsidP="00E1003A">
            <w:pPr>
              <w:keepLines/>
              <w:spacing w:after="0" w:line="240" w:lineRule="auto"/>
              <w:jc w:val="right"/>
              <w:rPr>
                <w:rFonts w:ascii="Times New Roman" w:eastAsia="Calibri" w:hAnsi="Times New Roman" w:cs="Times New Roman"/>
                <w:bCs/>
                <w:sz w:val="24"/>
                <w:szCs w:val="24"/>
              </w:rPr>
            </w:pPr>
          </w:p>
        </w:tc>
        <w:tc>
          <w:tcPr>
            <w:tcW w:w="873"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tcPr>
          <w:p w:rsidR="00AB0322" w:rsidRPr="003E5136" w:rsidRDefault="00AB0322" w:rsidP="00E1003A">
            <w:pPr>
              <w:keepLines/>
              <w:spacing w:after="0" w:line="240" w:lineRule="auto"/>
              <w:jc w:val="center"/>
              <w:rPr>
                <w:rFonts w:ascii="Times New Roman" w:eastAsia="Calibri" w:hAnsi="Times New Roman" w:cs="Times New Roman"/>
                <w:sz w:val="24"/>
                <w:szCs w:val="24"/>
              </w:rPr>
            </w:pPr>
          </w:p>
        </w:tc>
      </w:tr>
      <w:tr w:rsidR="00BF7776" w:rsidRPr="003E5136" w:rsidTr="007772B2">
        <w:trPr>
          <w:trHeight w:val="340"/>
        </w:trPr>
        <w:tc>
          <w:tcPr>
            <w:tcW w:w="2574" w:type="pct"/>
            <w:tcBorders>
              <w:left w:val="single" w:sz="4" w:space="0" w:color="auto"/>
              <w:bottom w:val="single" w:sz="4" w:space="0" w:color="auto"/>
              <w:right w:val="single" w:sz="4" w:space="0" w:color="auto"/>
            </w:tcBorders>
            <w:vAlign w:val="center"/>
          </w:tcPr>
          <w:p w:rsidR="00BF7776" w:rsidRPr="003E5136" w:rsidRDefault="00AB0322" w:rsidP="00E1003A">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Stanje na 31.12.2020.</w:t>
            </w:r>
          </w:p>
        </w:tc>
        <w:tc>
          <w:tcPr>
            <w:tcW w:w="626" w:type="pct"/>
            <w:tcBorders>
              <w:top w:val="single" w:sz="4" w:space="0" w:color="auto"/>
              <w:left w:val="single" w:sz="4" w:space="0" w:color="auto"/>
              <w:bottom w:val="single" w:sz="4" w:space="0" w:color="auto"/>
              <w:right w:val="single" w:sz="4" w:space="0" w:color="auto"/>
            </w:tcBorders>
            <w:vAlign w:val="center"/>
          </w:tcPr>
          <w:p w:rsidR="00BF7776" w:rsidRPr="003E5136" w:rsidRDefault="00BF7776"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3.600</w:t>
            </w:r>
          </w:p>
        </w:tc>
        <w:tc>
          <w:tcPr>
            <w:tcW w:w="873" w:type="pct"/>
            <w:tcBorders>
              <w:top w:val="single" w:sz="4" w:space="0" w:color="auto"/>
              <w:left w:val="single" w:sz="4" w:space="0" w:color="auto"/>
              <w:bottom w:val="single" w:sz="4" w:space="0" w:color="auto"/>
              <w:right w:val="single" w:sz="4" w:space="0" w:color="auto"/>
            </w:tcBorders>
            <w:vAlign w:val="center"/>
          </w:tcPr>
          <w:p w:rsidR="00BF7776" w:rsidRPr="003E5136" w:rsidRDefault="00AB0322"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91211</w:t>
            </w:r>
          </w:p>
        </w:tc>
        <w:tc>
          <w:tcPr>
            <w:tcW w:w="927" w:type="pct"/>
            <w:tcBorders>
              <w:top w:val="single" w:sz="4" w:space="0" w:color="auto"/>
              <w:left w:val="single" w:sz="4" w:space="0" w:color="auto"/>
              <w:bottom w:val="single" w:sz="4" w:space="0" w:color="auto"/>
              <w:right w:val="single" w:sz="4" w:space="0" w:color="auto"/>
            </w:tcBorders>
            <w:vAlign w:val="center"/>
          </w:tcPr>
          <w:p w:rsidR="00BF7776" w:rsidRPr="003E5136" w:rsidRDefault="00BF7776"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84711</w:t>
            </w:r>
          </w:p>
        </w:tc>
      </w:tr>
      <w:tr w:rsidR="000C46C2" w:rsidRPr="000C46C2" w:rsidTr="000C46C2">
        <w:trPr>
          <w:trHeight w:val="340"/>
        </w:trPr>
        <w:tc>
          <w:tcPr>
            <w:tcW w:w="5000" w:type="pct"/>
            <w:gridSpan w:val="4"/>
            <w:tcBorders>
              <w:left w:val="single" w:sz="4" w:space="0" w:color="auto"/>
              <w:bottom w:val="single" w:sz="4" w:space="0" w:color="auto"/>
              <w:right w:val="single" w:sz="4" w:space="0" w:color="auto"/>
            </w:tcBorders>
            <w:vAlign w:val="center"/>
          </w:tcPr>
          <w:p w:rsidR="000C46C2" w:rsidRPr="000C46C2" w:rsidRDefault="000C46C2" w:rsidP="000C46C2">
            <w:pPr>
              <w:keepLines/>
              <w:spacing w:after="0" w:line="240" w:lineRule="auto"/>
              <w:ind w:left="708"/>
              <w:rPr>
                <w:rFonts w:ascii="Times New Roman" w:eastAsia="Calibri" w:hAnsi="Times New Roman" w:cs="Times New Roman"/>
                <w:sz w:val="24"/>
                <w:szCs w:val="24"/>
              </w:rPr>
            </w:pPr>
            <w:r w:rsidRPr="000C46C2">
              <w:rPr>
                <w:rFonts w:ascii="Times New Roman" w:eastAsia="Calibri" w:hAnsi="Times New Roman" w:cs="Times New Roman"/>
                <w:sz w:val="24"/>
                <w:szCs w:val="24"/>
              </w:rPr>
              <w:t>2021. godina</w:t>
            </w:r>
          </w:p>
        </w:tc>
      </w:tr>
      <w:tr w:rsidR="007772B2" w:rsidRPr="003E5136" w:rsidTr="007772B2">
        <w:trPr>
          <w:trHeight w:val="278"/>
        </w:trPr>
        <w:tc>
          <w:tcPr>
            <w:tcW w:w="2574" w:type="pct"/>
            <w:vMerge w:val="restart"/>
            <w:tcBorders>
              <w:top w:val="single" w:sz="4" w:space="0" w:color="auto"/>
              <w:left w:val="single" w:sz="4" w:space="0" w:color="auto"/>
              <w:right w:val="single" w:sz="4" w:space="0" w:color="auto"/>
            </w:tcBorders>
            <w:vAlign w:val="center"/>
          </w:tcPr>
          <w:p w:rsidR="007772B2" w:rsidRPr="007772B2" w:rsidRDefault="000C46C2" w:rsidP="007772B2">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772B2" w:rsidRPr="007772B2">
              <w:rPr>
                <w:rFonts w:ascii="Times New Roman" w:eastAsia="Calibri" w:hAnsi="Times New Roman" w:cs="Times New Roman"/>
                <w:sz w:val="24"/>
                <w:szCs w:val="24"/>
              </w:rPr>
              <w:t>.</w:t>
            </w:r>
            <w:r w:rsidR="007772B2">
              <w:rPr>
                <w:rFonts w:ascii="Times New Roman" w:eastAsia="Calibri" w:hAnsi="Times New Roman" w:cs="Times New Roman"/>
                <w:sz w:val="24"/>
                <w:szCs w:val="24"/>
              </w:rPr>
              <w:t xml:space="preserve"> </w:t>
            </w:r>
            <w:r w:rsidR="007772B2" w:rsidRPr="003E5136">
              <w:rPr>
                <w:rFonts w:ascii="Times New Roman" w:eastAsia="Calibri" w:hAnsi="Times New Roman" w:cs="Times New Roman"/>
                <w:sz w:val="24"/>
                <w:szCs w:val="24"/>
              </w:rPr>
              <w:t>otplata zajma</w:t>
            </w:r>
            <w:r w:rsidR="007772B2">
              <w:rPr>
                <w:rFonts w:ascii="Times New Roman" w:eastAsia="Calibri" w:hAnsi="Times New Roman" w:cs="Times New Roman"/>
                <w:sz w:val="24"/>
                <w:szCs w:val="24"/>
              </w:rPr>
              <w:t xml:space="preserve"> u 2021.</w:t>
            </w:r>
          </w:p>
        </w:tc>
        <w:tc>
          <w:tcPr>
            <w:tcW w:w="626" w:type="pct"/>
            <w:vMerge w:val="restart"/>
            <w:tcBorders>
              <w:top w:val="single" w:sz="4" w:space="0" w:color="auto"/>
              <w:left w:val="single" w:sz="4" w:space="0" w:color="auto"/>
              <w:right w:val="single" w:sz="4" w:space="0" w:color="auto"/>
            </w:tcBorders>
            <w:vAlign w:val="center"/>
          </w:tcPr>
          <w:p w:rsidR="007772B2" w:rsidRDefault="007772B2"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3.600</w:t>
            </w:r>
          </w:p>
        </w:tc>
        <w:tc>
          <w:tcPr>
            <w:tcW w:w="873" w:type="pct"/>
            <w:tcBorders>
              <w:top w:val="single" w:sz="4" w:space="0" w:color="auto"/>
              <w:left w:val="single" w:sz="4" w:space="0" w:color="auto"/>
              <w:bottom w:val="single" w:sz="4" w:space="0" w:color="auto"/>
              <w:right w:val="single" w:sz="4" w:space="0" w:color="auto"/>
            </w:tcBorders>
            <w:vAlign w:val="center"/>
          </w:tcPr>
          <w:p w:rsidR="007772B2" w:rsidRPr="003E5136" w:rsidRDefault="007772B2" w:rsidP="007772B2">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54711</w:t>
            </w:r>
          </w:p>
        </w:tc>
        <w:tc>
          <w:tcPr>
            <w:tcW w:w="927" w:type="pct"/>
            <w:tcBorders>
              <w:top w:val="single" w:sz="4" w:space="0" w:color="auto"/>
              <w:left w:val="single" w:sz="4" w:space="0" w:color="auto"/>
              <w:bottom w:val="single" w:sz="4" w:space="0" w:color="auto"/>
              <w:right w:val="single" w:sz="4" w:space="0" w:color="auto"/>
            </w:tcBorders>
            <w:vAlign w:val="center"/>
          </w:tcPr>
          <w:p w:rsidR="007772B2" w:rsidRDefault="007772B2"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w:t>
            </w:r>
          </w:p>
        </w:tc>
      </w:tr>
      <w:tr w:rsidR="007772B2" w:rsidRPr="003E5136" w:rsidTr="007772B2">
        <w:trPr>
          <w:trHeight w:val="277"/>
        </w:trPr>
        <w:tc>
          <w:tcPr>
            <w:tcW w:w="2574" w:type="pct"/>
            <w:vMerge/>
            <w:tcBorders>
              <w:left w:val="single" w:sz="4" w:space="0" w:color="auto"/>
              <w:bottom w:val="single" w:sz="4" w:space="0" w:color="auto"/>
              <w:right w:val="single" w:sz="4" w:space="0" w:color="auto"/>
            </w:tcBorders>
            <w:vAlign w:val="center"/>
          </w:tcPr>
          <w:p w:rsidR="007772B2" w:rsidRPr="007772B2" w:rsidRDefault="007772B2" w:rsidP="007772B2">
            <w:pPr>
              <w:keepLines/>
              <w:spacing w:after="0" w:line="240" w:lineRule="auto"/>
              <w:jc w:val="both"/>
              <w:rPr>
                <w:rFonts w:ascii="Times New Roman" w:eastAsia="Calibri" w:hAnsi="Times New Roman" w:cs="Times New Roman"/>
                <w:sz w:val="24"/>
                <w:szCs w:val="24"/>
              </w:rPr>
            </w:pPr>
          </w:p>
        </w:tc>
        <w:tc>
          <w:tcPr>
            <w:tcW w:w="626" w:type="pct"/>
            <w:vMerge/>
            <w:tcBorders>
              <w:left w:val="single" w:sz="4" w:space="0" w:color="auto"/>
              <w:bottom w:val="single" w:sz="4" w:space="0" w:color="auto"/>
              <w:right w:val="single" w:sz="4" w:space="0" w:color="auto"/>
            </w:tcBorders>
            <w:vAlign w:val="center"/>
          </w:tcPr>
          <w:p w:rsidR="007772B2" w:rsidRDefault="007772B2" w:rsidP="00E1003A">
            <w:pPr>
              <w:keepLines/>
              <w:spacing w:after="0" w:line="240" w:lineRule="auto"/>
              <w:jc w:val="right"/>
              <w:rPr>
                <w:rFonts w:ascii="Times New Roman" w:eastAsia="Calibri" w:hAnsi="Times New Roman" w:cs="Times New Roman"/>
                <w:bCs/>
                <w:sz w:val="24"/>
                <w:szCs w:val="24"/>
              </w:rPr>
            </w:pPr>
          </w:p>
        </w:tc>
        <w:tc>
          <w:tcPr>
            <w:tcW w:w="873" w:type="pct"/>
            <w:tcBorders>
              <w:top w:val="single" w:sz="4" w:space="0" w:color="auto"/>
              <w:left w:val="single" w:sz="4" w:space="0" w:color="auto"/>
              <w:bottom w:val="single" w:sz="4" w:space="0" w:color="auto"/>
              <w:right w:val="single" w:sz="4" w:space="0" w:color="auto"/>
            </w:tcBorders>
            <w:vAlign w:val="center"/>
          </w:tcPr>
          <w:p w:rsidR="007772B2" w:rsidRDefault="00C012BB" w:rsidP="007772B2">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26711</w:t>
            </w:r>
          </w:p>
        </w:tc>
        <w:tc>
          <w:tcPr>
            <w:tcW w:w="927" w:type="pct"/>
            <w:tcBorders>
              <w:top w:val="single" w:sz="4" w:space="0" w:color="auto"/>
              <w:left w:val="single" w:sz="4" w:space="0" w:color="auto"/>
              <w:bottom w:val="single" w:sz="4" w:space="0" w:color="auto"/>
              <w:right w:val="single" w:sz="4" w:space="0" w:color="auto"/>
            </w:tcBorders>
            <w:vAlign w:val="center"/>
          </w:tcPr>
          <w:p w:rsidR="007772B2" w:rsidRDefault="00C012BB" w:rsidP="007772B2">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91211</w:t>
            </w:r>
          </w:p>
        </w:tc>
      </w:tr>
    </w:tbl>
    <w:p w:rsidR="003A14AF" w:rsidRDefault="003A14AF" w:rsidP="00E15145">
      <w:pPr>
        <w:tabs>
          <w:tab w:val="left" w:pos="2310"/>
        </w:tabs>
        <w:spacing w:line="360" w:lineRule="auto"/>
        <w:jc w:val="both"/>
        <w:rPr>
          <w:rFonts w:ascii="Times New Roman" w:hAnsi="Times New Roman" w:cs="Times New Roman"/>
          <w:sz w:val="24"/>
          <w:szCs w:val="24"/>
        </w:rPr>
      </w:pPr>
    </w:p>
    <w:p w:rsidR="0083086A" w:rsidRPr="00C012BB" w:rsidRDefault="00C012BB" w:rsidP="00C012BB">
      <w:pPr>
        <w:pStyle w:val="Odlomakpopisa"/>
        <w:numPr>
          <w:ilvl w:val="0"/>
          <w:numId w:val="2"/>
        </w:numPr>
        <w:spacing w:line="240" w:lineRule="auto"/>
        <w:jc w:val="both"/>
        <w:rPr>
          <w:rFonts w:ascii="Times New Roman" w:hAnsi="Times New Roman" w:cs="Times New Roman"/>
          <w:b/>
          <w:sz w:val="24"/>
          <w:szCs w:val="24"/>
        </w:rPr>
      </w:pPr>
      <w:r w:rsidRPr="00C012BB">
        <w:rPr>
          <w:rFonts w:ascii="Times New Roman" w:hAnsi="Times New Roman" w:cs="Times New Roman"/>
          <w:b/>
          <w:sz w:val="24"/>
          <w:szCs w:val="24"/>
        </w:rPr>
        <w:t>Knjigovodstveno evidentiranje</w:t>
      </w:r>
      <w:r w:rsidR="0083086A" w:rsidRPr="00C012BB">
        <w:rPr>
          <w:rFonts w:ascii="Times New Roman" w:hAnsi="Times New Roman" w:cs="Times New Roman"/>
          <w:b/>
          <w:sz w:val="24"/>
          <w:szCs w:val="24"/>
        </w:rPr>
        <w:t xml:space="preserve"> beskamatnog zajma u visini izvršenog povrata poreza na dohodak i prireza porezu na do</w:t>
      </w:r>
      <w:r w:rsidR="00E15145">
        <w:rPr>
          <w:rFonts w:ascii="Times New Roman" w:hAnsi="Times New Roman" w:cs="Times New Roman"/>
          <w:b/>
          <w:sz w:val="24"/>
          <w:szCs w:val="24"/>
        </w:rPr>
        <w:t>hodak temeljem godišnje prijave, čija se otplata</w:t>
      </w:r>
      <w:r w:rsidR="000C46C2">
        <w:rPr>
          <w:rFonts w:ascii="Times New Roman" w:hAnsi="Times New Roman" w:cs="Times New Roman"/>
          <w:b/>
          <w:sz w:val="24"/>
          <w:szCs w:val="24"/>
        </w:rPr>
        <w:t xml:space="preserve"> </w:t>
      </w:r>
      <w:r w:rsidR="000C46C2" w:rsidRPr="00A12EFF">
        <w:rPr>
          <w:rFonts w:ascii="Times New Roman" w:hAnsi="Times New Roman" w:cs="Times New Roman"/>
          <w:b/>
          <w:sz w:val="24"/>
          <w:szCs w:val="24"/>
        </w:rPr>
        <w:t>u cijelosti</w:t>
      </w:r>
      <w:r w:rsidR="00E15145">
        <w:rPr>
          <w:rFonts w:ascii="Times New Roman" w:hAnsi="Times New Roman" w:cs="Times New Roman"/>
          <w:b/>
          <w:sz w:val="24"/>
          <w:szCs w:val="24"/>
        </w:rPr>
        <w:t xml:space="preserve"> izvršava u 2020. godini</w:t>
      </w:r>
    </w:p>
    <w:p w:rsidR="0083086A" w:rsidRPr="00E15145" w:rsidRDefault="0083086A" w:rsidP="00D6581D">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lastRenderedPageBreak/>
        <w:t xml:space="preserve">Povrat poreza na dohodak i prireza porezu na dohodak po godišnjem obračunu za 2019. započeo je sredinom lipnja 2020. godine. </w:t>
      </w:r>
      <w:r w:rsidR="00E15145" w:rsidRPr="00E15145">
        <w:rPr>
          <w:rFonts w:ascii="Times New Roman" w:hAnsi="Times New Roman" w:cs="Times New Roman"/>
          <w:i/>
          <w:sz w:val="24"/>
          <w:szCs w:val="24"/>
        </w:rPr>
        <w:t>Jedinica</w:t>
      </w:r>
      <w:r w:rsidRPr="00E15145">
        <w:rPr>
          <w:rFonts w:ascii="Times New Roman" w:hAnsi="Times New Roman" w:cs="Times New Roman"/>
          <w:i/>
          <w:sz w:val="24"/>
          <w:szCs w:val="24"/>
        </w:rPr>
        <w:t xml:space="preserve"> je na datum povrata poreza na dohodak na računu poreza na dohodak i prireza imala određeni iznos sredstava raspoloživ za povrat (100.000 kn), dok je preostali iznos sredstava za povrat po godišnjem obračunu za 2019. na račun poreza i prireza doznačen s računa državnog proračuna (250.000 kn; ukupni povrat po godišnjem obračunu iznosi 350.000 kn). </w:t>
      </w:r>
    </w:p>
    <w:p w:rsidR="0083086A" w:rsidRPr="00E15145" w:rsidRDefault="0083086A" w:rsidP="00D6581D">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t>S obzirom na to da je jedinica podnijela zahtjev ima pravo na zajam u visini ukupnog povrata po godišnjem obračunu, pa joj je sljedećeg radnog dana s računa državnog proračuna doznačena razlika do ukupnog iznosa izvršenog povrata po godišnjem obračunu za 2019.</w:t>
      </w:r>
    </w:p>
    <w:p w:rsidR="0083086A" w:rsidRPr="00E15145" w:rsidRDefault="0083086A" w:rsidP="00D6581D">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t>Jedinice koje su podnijele zahtjev za beskamatni zajam iz državnog proračuna u skladu s Naputkom imaju mogućnost otplate tog zajma do najduže godinu dana.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161"/>
        <w:gridCol w:w="1617"/>
        <w:gridCol w:w="1702"/>
      </w:tblGrid>
      <w:tr w:rsidR="0083086A" w:rsidRPr="003E5136" w:rsidTr="00E1003A">
        <w:trPr>
          <w:trHeight w:hRule="exact" w:val="301"/>
        </w:trPr>
        <w:tc>
          <w:tcPr>
            <w:tcW w:w="2576" w:type="pct"/>
            <w:vMerge w:val="restar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OPIS</w:t>
            </w:r>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IZNOS</w:t>
            </w:r>
          </w:p>
        </w:tc>
        <w:tc>
          <w:tcPr>
            <w:tcW w:w="1796" w:type="pct"/>
            <w:gridSpan w:val="2"/>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RAČUN</w:t>
            </w:r>
          </w:p>
        </w:tc>
      </w:tr>
      <w:tr w:rsidR="0083086A" w:rsidRPr="003E5136" w:rsidTr="00E1003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Lines/>
              <w:spacing w:after="0" w:line="240" w:lineRule="auto"/>
              <w:jc w:val="center"/>
              <w:rPr>
                <w:rFonts w:ascii="Times New Roman" w:eastAsia="Calibri" w:hAnsi="Times New Roman" w:cs="Times New Roman"/>
                <w:b/>
                <w:bCs/>
                <w:sz w:val="24"/>
                <w:szCs w:val="24"/>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DUGUJE</w:t>
            </w:r>
          </w:p>
        </w:tc>
        <w:tc>
          <w:tcPr>
            <w:tcW w:w="921" w:type="pct"/>
            <w:tcBorders>
              <w:top w:val="single" w:sz="4" w:space="0" w:color="auto"/>
              <w:left w:val="single" w:sz="4" w:space="0" w:color="auto"/>
              <w:bottom w:val="single" w:sz="4" w:space="0" w:color="auto"/>
              <w:right w:val="single" w:sz="4" w:space="0" w:color="auto"/>
            </w:tcBorders>
            <w:vAlign w:val="center"/>
            <w:hideMark/>
          </w:tcPr>
          <w:p w:rsidR="0083086A" w:rsidRPr="003E5136" w:rsidRDefault="0083086A" w:rsidP="009A42BF">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POTRAŽUJE</w:t>
            </w:r>
          </w:p>
        </w:tc>
      </w:tr>
      <w:tr w:rsidR="0083086A" w:rsidRPr="003E5136" w:rsidTr="000C46C2">
        <w:trPr>
          <w:trHeight w:val="849"/>
        </w:trPr>
        <w:tc>
          <w:tcPr>
            <w:tcW w:w="2576" w:type="pct"/>
            <w:vMerge w:val="restart"/>
            <w:tcBorders>
              <w:top w:val="single" w:sz="4" w:space="0" w:color="auto"/>
              <w:left w:val="single" w:sz="4" w:space="0" w:color="auto"/>
              <w:right w:val="single" w:sz="4" w:space="0" w:color="auto"/>
            </w:tcBorders>
            <w:vAlign w:val="center"/>
            <w:hideMark/>
          </w:tcPr>
          <w:p w:rsidR="0083086A" w:rsidRPr="00750C36" w:rsidRDefault="0083086A" w:rsidP="009A42BF">
            <w:pPr>
              <w:keepLines/>
              <w:spacing w:after="0" w:line="240" w:lineRule="auto"/>
              <w:jc w:val="both"/>
              <w:rPr>
                <w:rFonts w:ascii="Times New Roman" w:eastAsia="Calibri" w:hAnsi="Times New Roman" w:cs="Times New Roman"/>
                <w:sz w:val="24"/>
                <w:szCs w:val="24"/>
              </w:rPr>
            </w:pPr>
            <w:r w:rsidRPr="00750C36">
              <w:rPr>
                <w:rFonts w:ascii="Times New Roman" w:eastAsia="Calibri" w:hAnsi="Times New Roman" w:cs="Times New Roman"/>
                <w:sz w:val="24"/>
                <w:szCs w:val="24"/>
              </w:rPr>
              <w:t>Temeljem obavijesti Fine:</w:t>
            </w:r>
          </w:p>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750C36">
              <w:rPr>
                <w:rFonts w:ascii="Times New Roman" w:eastAsia="Calibri" w:hAnsi="Times New Roman" w:cs="Times New Roman"/>
                <w:sz w:val="24"/>
                <w:szCs w:val="24"/>
              </w:rPr>
              <w:t xml:space="preserve">1.a naplaćeni porez na dohodak i prirez </w:t>
            </w:r>
            <w:r>
              <w:rPr>
                <w:rFonts w:ascii="Times New Roman" w:eastAsia="Calibri" w:hAnsi="Times New Roman" w:cs="Times New Roman"/>
                <w:sz w:val="24"/>
                <w:szCs w:val="24"/>
              </w:rPr>
              <w:t>te</w:t>
            </w:r>
            <w:r w:rsidRPr="00750C36">
              <w:rPr>
                <w:rFonts w:ascii="Times New Roman" w:eastAsia="Calibri" w:hAnsi="Times New Roman" w:cs="Times New Roman"/>
                <w:sz w:val="24"/>
                <w:szCs w:val="24"/>
              </w:rPr>
              <w:t xml:space="preserve"> povrat poreza na teret naplaćenih prihoda</w:t>
            </w:r>
          </w:p>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Pr>
                <w:rFonts w:ascii="Times New Roman" w:eastAsia="Calibri" w:hAnsi="Times New Roman" w:cs="Times New Roman"/>
                <w:sz w:val="24"/>
                <w:szCs w:val="24"/>
              </w:rPr>
              <w:t>b</w:t>
            </w:r>
            <w:r w:rsidRPr="003E5136">
              <w:rPr>
                <w:rFonts w:ascii="Times New Roman" w:eastAsia="Calibri" w:hAnsi="Times New Roman" w:cs="Times New Roman"/>
                <w:sz w:val="24"/>
                <w:szCs w:val="24"/>
              </w:rPr>
              <w:t xml:space="preserve"> povrat poreza namirenjem iz državnog proračuna</w:t>
            </w: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6117</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w:t>
            </w:r>
          </w:p>
        </w:tc>
      </w:tr>
      <w:tr w:rsidR="0083086A" w:rsidRPr="003E5136" w:rsidTr="00E1003A">
        <w:trPr>
          <w:trHeight w:val="340"/>
        </w:trPr>
        <w:tc>
          <w:tcPr>
            <w:tcW w:w="2576" w:type="pct"/>
            <w:vMerge/>
            <w:tcBorders>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both"/>
              <w:rPr>
                <w:rFonts w:ascii="Times New Roman" w:eastAsia="Calibri" w:hAnsi="Times New Roman" w:cs="Times New Roman"/>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3E5136">
              <w:rPr>
                <w:rFonts w:ascii="Times New Roman" w:eastAsia="Calibri" w:hAnsi="Times New Roman" w:cs="Times New Roman"/>
                <w:bCs/>
                <w:sz w:val="24"/>
                <w:szCs w:val="24"/>
              </w:rPr>
              <w:t>5</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6117</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83086A"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2. doznaka razlike do ukupnog iznosa povrata poreza</w:t>
            </w: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sidR="00E15145">
              <w:rPr>
                <w:rFonts w:ascii="Times New Roman" w:eastAsia="Calibri" w:hAnsi="Times New Roman" w:cs="Times New Roman"/>
                <w:sz w:val="24"/>
                <w:szCs w:val="24"/>
              </w:rPr>
              <w:t>1121</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83086A" w:rsidRPr="003E5136" w:rsidTr="00E1003A">
        <w:trPr>
          <w:trHeight w:val="340"/>
        </w:trPr>
        <w:tc>
          <w:tcPr>
            <w:tcW w:w="2576"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 xml:space="preserve">3. otplata zajma </w:t>
            </w:r>
            <w:r w:rsidR="00702321">
              <w:rPr>
                <w:rFonts w:ascii="Times New Roman" w:eastAsia="Calibri" w:hAnsi="Times New Roman" w:cs="Times New Roman"/>
                <w:sz w:val="24"/>
                <w:szCs w:val="24"/>
              </w:rPr>
              <w:t>(</w:t>
            </w:r>
            <w:r w:rsidRPr="003E5136">
              <w:rPr>
                <w:rFonts w:ascii="Times New Roman" w:eastAsia="Calibri" w:hAnsi="Times New Roman" w:cs="Times New Roman"/>
                <w:sz w:val="24"/>
                <w:szCs w:val="24"/>
              </w:rPr>
              <w:t>u istoj godini</w:t>
            </w:r>
            <w:r>
              <w:rPr>
                <w:rFonts w:ascii="Times New Roman" w:eastAsia="Calibri" w:hAnsi="Times New Roman" w:cs="Times New Roman"/>
                <w:sz w:val="24"/>
                <w:szCs w:val="24"/>
              </w:rPr>
              <w:t xml:space="preserve"> u kojoj je primljen zajam;</w:t>
            </w:r>
            <w:r w:rsidRPr="003E5136">
              <w:rPr>
                <w:rFonts w:ascii="Times New Roman" w:eastAsia="Calibri" w:hAnsi="Times New Roman" w:cs="Times New Roman"/>
                <w:sz w:val="24"/>
                <w:szCs w:val="24"/>
              </w:rPr>
              <w:t xml:space="preserve"> zajam s otplatom do najduže godinu dana, prema dinamici koju utvrđuje sama JLP</w:t>
            </w:r>
            <w:r>
              <w:rPr>
                <w:rFonts w:ascii="Times New Roman" w:eastAsia="Calibri" w:hAnsi="Times New Roman" w:cs="Times New Roman"/>
                <w:sz w:val="24"/>
                <w:szCs w:val="24"/>
              </w:rPr>
              <w:t>(</w:t>
            </w:r>
            <w:r w:rsidRPr="003E5136">
              <w:rPr>
                <w:rFonts w:ascii="Times New Roman" w:eastAsia="Calibri" w:hAnsi="Times New Roman" w:cs="Times New Roman"/>
                <w:sz w:val="24"/>
                <w:szCs w:val="24"/>
              </w:rPr>
              <w:t>R</w:t>
            </w:r>
            <w:r>
              <w:rPr>
                <w:rFonts w:ascii="Times New Roman" w:eastAsia="Calibri" w:hAnsi="Times New Roman" w:cs="Times New Roman"/>
                <w:sz w:val="24"/>
                <w:szCs w:val="24"/>
              </w:rPr>
              <w:t>)</w:t>
            </w:r>
            <w:r w:rsidRPr="003E5136">
              <w:rPr>
                <w:rFonts w:ascii="Times New Roman" w:eastAsia="Calibri" w:hAnsi="Times New Roman" w:cs="Times New Roman"/>
                <w:sz w:val="24"/>
                <w:szCs w:val="24"/>
              </w:rPr>
              <w:t>S)</w:t>
            </w:r>
          </w:p>
        </w:tc>
        <w:tc>
          <w:tcPr>
            <w:tcW w:w="628" w:type="pct"/>
            <w:tcBorders>
              <w:top w:val="single" w:sz="4" w:space="0" w:color="auto"/>
              <w:left w:val="single" w:sz="4" w:space="0" w:color="auto"/>
              <w:bottom w:val="single" w:sz="4" w:space="0" w:color="auto"/>
              <w:right w:val="single" w:sz="4" w:space="0" w:color="auto"/>
            </w:tcBorders>
            <w:vAlign w:val="center"/>
          </w:tcPr>
          <w:p w:rsidR="0083086A" w:rsidRPr="003E5136" w:rsidRDefault="00702321" w:rsidP="009A42BF">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83086A" w:rsidRPr="003E5136">
              <w:rPr>
                <w:rFonts w:ascii="Times New Roman" w:eastAsia="Calibri" w:hAnsi="Times New Roman" w:cs="Times New Roman"/>
                <w:bCs/>
                <w:sz w:val="24"/>
                <w:szCs w:val="24"/>
              </w:rPr>
              <w:t>50</w:t>
            </w:r>
            <w:r w:rsidR="0083086A">
              <w:rPr>
                <w:rFonts w:ascii="Times New Roman" w:eastAsia="Calibri" w:hAnsi="Times New Roman" w:cs="Times New Roman"/>
                <w:bCs/>
                <w:sz w:val="24"/>
                <w:szCs w:val="24"/>
              </w:rPr>
              <w:t>.00</w:t>
            </w:r>
            <w:r w:rsidR="0083086A" w:rsidRPr="003E5136">
              <w:rPr>
                <w:rFonts w:ascii="Times New Roman" w:eastAsia="Calibri" w:hAnsi="Times New Roman" w:cs="Times New Roman"/>
                <w:bCs/>
                <w:sz w:val="24"/>
                <w:szCs w:val="24"/>
              </w:rPr>
              <w:t>0</w:t>
            </w:r>
          </w:p>
        </w:tc>
        <w:tc>
          <w:tcPr>
            <w:tcW w:w="875"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c>
          <w:tcPr>
            <w:tcW w:w="921" w:type="pct"/>
            <w:tcBorders>
              <w:top w:val="single" w:sz="4" w:space="0" w:color="auto"/>
              <w:left w:val="single" w:sz="4" w:space="0" w:color="auto"/>
              <w:bottom w:val="single" w:sz="4" w:space="0" w:color="auto"/>
              <w:right w:val="single" w:sz="4" w:space="0" w:color="auto"/>
            </w:tcBorders>
            <w:vAlign w:val="center"/>
          </w:tcPr>
          <w:p w:rsidR="0083086A" w:rsidRPr="003E5136" w:rsidRDefault="0083086A" w:rsidP="009A42BF">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sidR="00E15145">
              <w:rPr>
                <w:rFonts w:ascii="Times New Roman" w:eastAsia="Calibri" w:hAnsi="Times New Roman" w:cs="Times New Roman"/>
                <w:sz w:val="24"/>
                <w:szCs w:val="24"/>
              </w:rPr>
              <w:t>1121</w:t>
            </w:r>
          </w:p>
        </w:tc>
      </w:tr>
    </w:tbl>
    <w:p w:rsidR="0083086A" w:rsidRDefault="0083086A" w:rsidP="0083086A">
      <w:pPr>
        <w:spacing w:line="360" w:lineRule="auto"/>
        <w:jc w:val="both"/>
        <w:rPr>
          <w:rFonts w:ascii="Times New Roman" w:hAnsi="Times New Roman" w:cs="Times New Roman"/>
          <w:sz w:val="24"/>
          <w:szCs w:val="24"/>
        </w:rPr>
      </w:pPr>
    </w:p>
    <w:p w:rsidR="00E15145" w:rsidRPr="00E15145" w:rsidRDefault="00E15145" w:rsidP="00E15145">
      <w:pPr>
        <w:pStyle w:val="Odlomakpopisa"/>
        <w:numPr>
          <w:ilvl w:val="0"/>
          <w:numId w:val="2"/>
        </w:numPr>
        <w:spacing w:line="240" w:lineRule="auto"/>
        <w:jc w:val="both"/>
        <w:rPr>
          <w:rFonts w:ascii="Times New Roman" w:hAnsi="Times New Roman" w:cs="Times New Roman"/>
          <w:b/>
          <w:sz w:val="24"/>
          <w:szCs w:val="24"/>
        </w:rPr>
      </w:pPr>
      <w:r w:rsidRPr="00E15145">
        <w:rPr>
          <w:rFonts w:ascii="Times New Roman" w:hAnsi="Times New Roman" w:cs="Times New Roman"/>
          <w:b/>
          <w:sz w:val="24"/>
          <w:szCs w:val="24"/>
        </w:rPr>
        <w:t xml:space="preserve">Knjigovodstveno evidentiranje beskamatnog zajma u visini izvršenog povrata poreza na dohodak i prireza porezu na dohodak temeljem godišnje prijave, čija se otplata izvršava </w:t>
      </w:r>
      <w:r>
        <w:rPr>
          <w:rFonts w:ascii="Times New Roman" w:hAnsi="Times New Roman" w:cs="Times New Roman"/>
          <w:b/>
          <w:sz w:val="24"/>
          <w:szCs w:val="24"/>
        </w:rPr>
        <w:t>u 2020. i 2021. godini (otplata djelomično prelazi u 2021. godinu)</w:t>
      </w:r>
    </w:p>
    <w:p w:rsidR="00E15145" w:rsidRPr="00E15145" w:rsidRDefault="00E15145" w:rsidP="00E15145">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t xml:space="preserve">Povrat poreza na dohodak i prireza porezu na dohodak po godišnjem obračunu za 2019. započeo je sredinom lipnja 2020. godine. Jedinica je na datum povrata poreza na dohodak na računu poreza na dohodak i prireza imala određeni iznos sredstava raspoloživ za povrat (100.000 kn), dok je preostali iznos sredstava za povrat po godišnjem obračunu za 2019. na račun poreza i prireza doznačen s računa državnog proračuna (250.000 kn; ukupni povrat po godišnjem obračunu iznosi 350.000 kn). </w:t>
      </w:r>
    </w:p>
    <w:p w:rsidR="00E15145" w:rsidRPr="00E15145" w:rsidRDefault="00E15145" w:rsidP="00E15145">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t>S obzirom na to da je jedinica podnijela zahtjev ima pravo na zajam u visini ukupnog povrata po godišnjem obračunu, pa joj je sljedećeg radnog dana s računa državnog proračuna doznačena razlika do ukupnog iznosa izvršenog povrata po godišnjem obračunu za 2019.</w:t>
      </w:r>
    </w:p>
    <w:p w:rsidR="00E15145" w:rsidRPr="00E15145" w:rsidRDefault="00E15145" w:rsidP="00E15145">
      <w:pPr>
        <w:spacing w:line="240" w:lineRule="auto"/>
        <w:jc w:val="both"/>
        <w:rPr>
          <w:rFonts w:ascii="Times New Roman" w:hAnsi="Times New Roman" w:cs="Times New Roman"/>
          <w:i/>
          <w:sz w:val="24"/>
          <w:szCs w:val="24"/>
        </w:rPr>
      </w:pPr>
      <w:r w:rsidRPr="00E15145">
        <w:rPr>
          <w:rFonts w:ascii="Times New Roman" w:hAnsi="Times New Roman" w:cs="Times New Roman"/>
          <w:i/>
          <w:sz w:val="24"/>
          <w:szCs w:val="24"/>
        </w:rPr>
        <w:t>Jedinice koje su podnijele zahtjev za beskamatni zajam iz državnog proračuna u skladu s Naputkom imaju mogućnost otplate tog zajma do najduže godinu dana</w:t>
      </w:r>
      <w:r>
        <w:rPr>
          <w:rFonts w:ascii="Times New Roman" w:hAnsi="Times New Roman" w:cs="Times New Roman"/>
          <w:i/>
          <w:sz w:val="24"/>
          <w:szCs w:val="24"/>
        </w:rPr>
        <w:t>, prema dinam</w:t>
      </w:r>
      <w:r w:rsidR="00AB0322">
        <w:rPr>
          <w:rFonts w:ascii="Times New Roman" w:hAnsi="Times New Roman" w:cs="Times New Roman"/>
          <w:i/>
          <w:sz w:val="24"/>
          <w:szCs w:val="24"/>
        </w:rPr>
        <w:t>ici koju utvrđuje sama jedinica, stoga jedinica otplaćuje 160.000,00 kn zajma u 2020. a 190.000,00 kn u 2021. godini.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157"/>
        <w:gridCol w:w="1614"/>
        <w:gridCol w:w="1713"/>
      </w:tblGrid>
      <w:tr w:rsidR="00E15145" w:rsidRPr="003E5136" w:rsidTr="004003CC">
        <w:trPr>
          <w:trHeight w:hRule="exact" w:val="301"/>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lastRenderedPageBreak/>
              <w:t>OPIS</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IZNOS</w:t>
            </w:r>
          </w:p>
        </w:tc>
        <w:tc>
          <w:tcPr>
            <w:tcW w:w="1800" w:type="pct"/>
            <w:gridSpan w:val="2"/>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RAČUN</w:t>
            </w:r>
          </w:p>
        </w:tc>
      </w:tr>
      <w:tr w:rsidR="00E15145" w:rsidRPr="003E5136" w:rsidTr="004003CC">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Lines/>
              <w:spacing w:after="0" w:line="240" w:lineRule="auto"/>
              <w:jc w:val="center"/>
              <w:rPr>
                <w:rFonts w:ascii="Times New Roman" w:eastAsia="Calibri" w:hAnsi="Times New Roman" w:cs="Times New Roman"/>
                <w:b/>
                <w:bCs/>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p>
        </w:tc>
        <w:tc>
          <w:tcPr>
            <w:tcW w:w="873" w:type="pct"/>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DUGUJE</w:t>
            </w:r>
          </w:p>
        </w:tc>
        <w:tc>
          <w:tcPr>
            <w:tcW w:w="927" w:type="pct"/>
            <w:tcBorders>
              <w:top w:val="single" w:sz="4" w:space="0" w:color="auto"/>
              <w:left w:val="single" w:sz="4" w:space="0" w:color="auto"/>
              <w:bottom w:val="single" w:sz="4" w:space="0" w:color="auto"/>
              <w:right w:val="single" w:sz="4" w:space="0" w:color="auto"/>
            </w:tcBorders>
            <w:vAlign w:val="center"/>
            <w:hideMark/>
          </w:tcPr>
          <w:p w:rsidR="00E15145" w:rsidRPr="003E5136" w:rsidRDefault="00E15145" w:rsidP="00E1003A">
            <w:pPr>
              <w:keepNext/>
              <w:keepLines/>
              <w:spacing w:after="0" w:line="240" w:lineRule="auto"/>
              <w:jc w:val="center"/>
              <w:rPr>
                <w:rFonts w:ascii="Times New Roman" w:eastAsia="Calibri" w:hAnsi="Times New Roman" w:cs="Times New Roman"/>
                <w:b/>
                <w:bCs/>
                <w:sz w:val="24"/>
                <w:szCs w:val="24"/>
              </w:rPr>
            </w:pPr>
            <w:r w:rsidRPr="003E5136">
              <w:rPr>
                <w:rFonts w:ascii="Times New Roman" w:eastAsia="Calibri" w:hAnsi="Times New Roman" w:cs="Times New Roman"/>
                <w:b/>
                <w:bCs/>
                <w:sz w:val="24"/>
                <w:szCs w:val="24"/>
              </w:rPr>
              <w:t>POTRAŽUJE</w:t>
            </w:r>
          </w:p>
        </w:tc>
      </w:tr>
      <w:tr w:rsidR="00E15145" w:rsidRPr="003E5136" w:rsidTr="000C46C2">
        <w:trPr>
          <w:trHeight w:val="841"/>
        </w:trPr>
        <w:tc>
          <w:tcPr>
            <w:tcW w:w="2574" w:type="pct"/>
            <w:vMerge w:val="restart"/>
            <w:tcBorders>
              <w:top w:val="single" w:sz="4" w:space="0" w:color="auto"/>
              <w:left w:val="single" w:sz="4" w:space="0" w:color="auto"/>
              <w:right w:val="single" w:sz="4" w:space="0" w:color="auto"/>
            </w:tcBorders>
            <w:vAlign w:val="center"/>
            <w:hideMark/>
          </w:tcPr>
          <w:p w:rsidR="00E15145" w:rsidRPr="00750C36" w:rsidRDefault="00E15145" w:rsidP="00E1003A">
            <w:pPr>
              <w:keepLines/>
              <w:spacing w:after="0" w:line="240" w:lineRule="auto"/>
              <w:jc w:val="both"/>
              <w:rPr>
                <w:rFonts w:ascii="Times New Roman" w:eastAsia="Calibri" w:hAnsi="Times New Roman" w:cs="Times New Roman"/>
                <w:sz w:val="24"/>
                <w:szCs w:val="24"/>
              </w:rPr>
            </w:pPr>
            <w:r w:rsidRPr="00750C36">
              <w:rPr>
                <w:rFonts w:ascii="Times New Roman" w:eastAsia="Calibri" w:hAnsi="Times New Roman" w:cs="Times New Roman"/>
                <w:sz w:val="24"/>
                <w:szCs w:val="24"/>
              </w:rPr>
              <w:t>Temeljem obavijesti Fine:</w:t>
            </w:r>
          </w:p>
          <w:p w:rsidR="00E15145" w:rsidRPr="003E5136" w:rsidRDefault="00E15145" w:rsidP="00E1003A">
            <w:pPr>
              <w:keepLines/>
              <w:spacing w:after="0" w:line="240" w:lineRule="auto"/>
              <w:jc w:val="both"/>
              <w:rPr>
                <w:rFonts w:ascii="Times New Roman" w:eastAsia="Calibri" w:hAnsi="Times New Roman" w:cs="Times New Roman"/>
                <w:sz w:val="24"/>
                <w:szCs w:val="24"/>
              </w:rPr>
            </w:pPr>
            <w:r w:rsidRPr="00750C36">
              <w:rPr>
                <w:rFonts w:ascii="Times New Roman" w:eastAsia="Calibri" w:hAnsi="Times New Roman" w:cs="Times New Roman"/>
                <w:sz w:val="24"/>
                <w:szCs w:val="24"/>
              </w:rPr>
              <w:t xml:space="preserve">1.a naplaćeni porez na dohodak i prirez </w:t>
            </w:r>
            <w:r>
              <w:rPr>
                <w:rFonts w:ascii="Times New Roman" w:eastAsia="Calibri" w:hAnsi="Times New Roman" w:cs="Times New Roman"/>
                <w:sz w:val="24"/>
                <w:szCs w:val="24"/>
              </w:rPr>
              <w:t>te</w:t>
            </w:r>
            <w:r w:rsidRPr="00750C36">
              <w:rPr>
                <w:rFonts w:ascii="Times New Roman" w:eastAsia="Calibri" w:hAnsi="Times New Roman" w:cs="Times New Roman"/>
                <w:sz w:val="24"/>
                <w:szCs w:val="24"/>
              </w:rPr>
              <w:t xml:space="preserve"> povrat poreza na teret naplaćenih prihoda</w:t>
            </w:r>
          </w:p>
          <w:p w:rsidR="00E15145" w:rsidRPr="003E5136" w:rsidRDefault="00E15145" w:rsidP="00E1003A">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Pr>
                <w:rFonts w:ascii="Times New Roman" w:eastAsia="Calibri" w:hAnsi="Times New Roman" w:cs="Times New Roman"/>
                <w:sz w:val="24"/>
                <w:szCs w:val="24"/>
              </w:rPr>
              <w:t>b</w:t>
            </w:r>
            <w:r w:rsidRPr="003E5136">
              <w:rPr>
                <w:rFonts w:ascii="Times New Roman" w:eastAsia="Calibri" w:hAnsi="Times New Roman" w:cs="Times New Roman"/>
                <w:sz w:val="24"/>
                <w:szCs w:val="24"/>
              </w:rPr>
              <w:t xml:space="preserve"> povrat poreza namirenjem iz državnog proračuna</w:t>
            </w:r>
          </w:p>
        </w:tc>
        <w:tc>
          <w:tcPr>
            <w:tcW w:w="626"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.000</w:t>
            </w:r>
          </w:p>
        </w:tc>
        <w:tc>
          <w:tcPr>
            <w:tcW w:w="873"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6117</w:t>
            </w:r>
          </w:p>
        </w:tc>
        <w:tc>
          <w:tcPr>
            <w:tcW w:w="927"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w:t>
            </w:r>
          </w:p>
        </w:tc>
      </w:tr>
      <w:tr w:rsidR="00E15145" w:rsidRPr="003E5136" w:rsidTr="004003CC">
        <w:trPr>
          <w:trHeight w:val="340"/>
        </w:trPr>
        <w:tc>
          <w:tcPr>
            <w:tcW w:w="2574" w:type="pct"/>
            <w:vMerge/>
            <w:tcBorders>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both"/>
              <w:rPr>
                <w:rFonts w:ascii="Times New Roman" w:eastAsia="Calibri"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3E5136">
              <w:rPr>
                <w:rFonts w:ascii="Times New Roman" w:eastAsia="Calibri" w:hAnsi="Times New Roman" w:cs="Times New Roman"/>
                <w:bCs/>
                <w:sz w:val="24"/>
                <w:szCs w:val="24"/>
              </w:rPr>
              <w:t>5</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w:t>
            </w:r>
          </w:p>
        </w:tc>
        <w:tc>
          <w:tcPr>
            <w:tcW w:w="873"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6117</w:t>
            </w:r>
          </w:p>
        </w:tc>
        <w:tc>
          <w:tcPr>
            <w:tcW w:w="927"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E15145" w:rsidRPr="003E5136" w:rsidTr="004003CC">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2. doznaka razlike do ukupnog iznosa povrata poreza</w:t>
            </w:r>
          </w:p>
        </w:tc>
        <w:tc>
          <w:tcPr>
            <w:tcW w:w="626"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right"/>
              <w:rPr>
                <w:rFonts w:ascii="Times New Roman" w:eastAsia="Calibri" w:hAnsi="Times New Roman" w:cs="Times New Roman"/>
                <w:bCs/>
                <w:sz w:val="24"/>
                <w:szCs w:val="24"/>
              </w:rPr>
            </w:pPr>
            <w:r w:rsidRPr="003E5136">
              <w:rPr>
                <w:rFonts w:ascii="Times New Roman" w:eastAsia="Calibri" w:hAnsi="Times New Roman" w:cs="Times New Roman"/>
                <w:bCs/>
                <w:sz w:val="24"/>
                <w:szCs w:val="24"/>
              </w:rPr>
              <w:t>1</w:t>
            </w:r>
            <w:r>
              <w:rPr>
                <w:rFonts w:ascii="Times New Roman" w:eastAsia="Calibri" w:hAnsi="Times New Roman" w:cs="Times New Roman"/>
                <w:bCs/>
                <w:sz w:val="24"/>
                <w:szCs w:val="24"/>
              </w:rPr>
              <w:t>00</w:t>
            </w:r>
            <w:r w:rsidRPr="003E5136">
              <w:rPr>
                <w:rFonts w:ascii="Times New Roman" w:eastAsia="Calibri" w:hAnsi="Times New Roman" w:cs="Times New Roman"/>
                <w:bCs/>
                <w:sz w:val="24"/>
                <w:szCs w:val="24"/>
              </w:rPr>
              <w:t>.000</w:t>
            </w:r>
          </w:p>
        </w:tc>
        <w:tc>
          <w:tcPr>
            <w:tcW w:w="873"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Pr>
                <w:rFonts w:ascii="Times New Roman" w:eastAsia="Calibri" w:hAnsi="Times New Roman" w:cs="Times New Roman"/>
                <w:sz w:val="24"/>
                <w:szCs w:val="24"/>
              </w:rPr>
              <w:t>1121</w:t>
            </w:r>
          </w:p>
        </w:tc>
        <w:tc>
          <w:tcPr>
            <w:tcW w:w="927"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r>
      <w:tr w:rsidR="00E15145" w:rsidRPr="003E5136" w:rsidTr="004003CC">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5145">
            <w:pPr>
              <w:keepLines/>
              <w:spacing w:after="0" w:line="240" w:lineRule="auto"/>
              <w:jc w:val="both"/>
              <w:rPr>
                <w:rFonts w:ascii="Times New Roman" w:eastAsia="Calibri" w:hAnsi="Times New Roman" w:cs="Times New Roman"/>
                <w:sz w:val="24"/>
                <w:szCs w:val="24"/>
              </w:rPr>
            </w:pPr>
            <w:r w:rsidRPr="003E5136">
              <w:rPr>
                <w:rFonts w:ascii="Times New Roman" w:eastAsia="Calibri" w:hAnsi="Times New Roman" w:cs="Times New Roman"/>
                <w:sz w:val="24"/>
                <w:szCs w:val="24"/>
              </w:rPr>
              <w:t xml:space="preserve">3. otplata zajma </w:t>
            </w:r>
            <w:r w:rsidR="00AF6046">
              <w:rPr>
                <w:rFonts w:ascii="Times New Roman" w:eastAsia="Calibri" w:hAnsi="Times New Roman" w:cs="Times New Roman"/>
                <w:sz w:val="24"/>
                <w:szCs w:val="24"/>
              </w:rPr>
              <w:t>(</w:t>
            </w:r>
            <w:r w:rsidRPr="003E5136">
              <w:rPr>
                <w:rFonts w:ascii="Times New Roman" w:eastAsia="Calibri" w:hAnsi="Times New Roman" w:cs="Times New Roman"/>
                <w:sz w:val="24"/>
                <w:szCs w:val="24"/>
              </w:rPr>
              <w:t>u</w:t>
            </w:r>
            <w:r>
              <w:rPr>
                <w:rFonts w:ascii="Times New Roman" w:eastAsia="Calibri" w:hAnsi="Times New Roman" w:cs="Times New Roman"/>
                <w:sz w:val="24"/>
                <w:szCs w:val="24"/>
              </w:rPr>
              <w:t xml:space="preserve"> 2020.</w:t>
            </w:r>
            <w:r w:rsidR="00AF6046">
              <w:rPr>
                <w:rFonts w:ascii="Times New Roman" w:eastAsia="Calibri" w:hAnsi="Times New Roman" w:cs="Times New Roman"/>
                <w:sz w:val="24"/>
                <w:szCs w:val="24"/>
              </w:rPr>
              <w:t xml:space="preserve"> godini</w:t>
            </w:r>
            <w:r>
              <w:rPr>
                <w:rFonts w:ascii="Times New Roman" w:eastAsia="Calibri" w:hAnsi="Times New Roman" w:cs="Times New Roman"/>
                <w:sz w:val="24"/>
                <w:szCs w:val="24"/>
              </w:rPr>
              <w:t>,</w:t>
            </w:r>
            <w:r w:rsidRPr="003E5136">
              <w:rPr>
                <w:rFonts w:ascii="Times New Roman" w:eastAsia="Calibri" w:hAnsi="Times New Roman" w:cs="Times New Roman"/>
                <w:sz w:val="24"/>
                <w:szCs w:val="24"/>
              </w:rPr>
              <w:t xml:space="preserve"> istoj godini</w:t>
            </w:r>
            <w:r>
              <w:rPr>
                <w:rFonts w:ascii="Times New Roman" w:eastAsia="Calibri" w:hAnsi="Times New Roman" w:cs="Times New Roman"/>
                <w:sz w:val="24"/>
                <w:szCs w:val="24"/>
              </w:rPr>
              <w:t xml:space="preserve"> u kojoj je primljen zajam)</w:t>
            </w:r>
          </w:p>
        </w:tc>
        <w:tc>
          <w:tcPr>
            <w:tcW w:w="626" w:type="pct"/>
            <w:tcBorders>
              <w:top w:val="single" w:sz="4" w:space="0" w:color="auto"/>
              <w:left w:val="single" w:sz="4" w:space="0" w:color="auto"/>
              <w:bottom w:val="single" w:sz="4" w:space="0" w:color="auto"/>
              <w:right w:val="single" w:sz="4" w:space="0" w:color="auto"/>
            </w:tcBorders>
            <w:vAlign w:val="center"/>
          </w:tcPr>
          <w:p w:rsidR="00E15145" w:rsidRPr="003E5136" w:rsidRDefault="004003CC"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16</w:t>
            </w:r>
            <w:r w:rsidR="00E15145" w:rsidRPr="003E5136">
              <w:rPr>
                <w:rFonts w:ascii="Times New Roman" w:eastAsia="Calibri" w:hAnsi="Times New Roman" w:cs="Times New Roman"/>
                <w:bCs/>
                <w:sz w:val="24"/>
                <w:szCs w:val="24"/>
              </w:rPr>
              <w:t>0</w:t>
            </w:r>
            <w:r w:rsidR="00E15145">
              <w:rPr>
                <w:rFonts w:ascii="Times New Roman" w:eastAsia="Calibri" w:hAnsi="Times New Roman" w:cs="Times New Roman"/>
                <w:bCs/>
                <w:sz w:val="24"/>
                <w:szCs w:val="24"/>
              </w:rPr>
              <w:t>.00</w:t>
            </w:r>
            <w:r w:rsidR="00E15145" w:rsidRPr="003E5136">
              <w:rPr>
                <w:rFonts w:ascii="Times New Roman" w:eastAsia="Calibri" w:hAnsi="Times New Roman" w:cs="Times New Roman"/>
                <w:bCs/>
                <w:sz w:val="24"/>
                <w:szCs w:val="24"/>
              </w:rPr>
              <w:t>0</w:t>
            </w:r>
          </w:p>
        </w:tc>
        <w:tc>
          <w:tcPr>
            <w:tcW w:w="873"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26711</w:t>
            </w:r>
          </w:p>
        </w:tc>
        <w:tc>
          <w:tcPr>
            <w:tcW w:w="927" w:type="pct"/>
            <w:tcBorders>
              <w:top w:val="single" w:sz="4" w:space="0" w:color="auto"/>
              <w:left w:val="single" w:sz="4" w:space="0" w:color="auto"/>
              <w:bottom w:val="single" w:sz="4" w:space="0" w:color="auto"/>
              <w:right w:val="single" w:sz="4" w:space="0" w:color="auto"/>
            </w:tcBorders>
            <w:vAlign w:val="center"/>
          </w:tcPr>
          <w:p w:rsidR="00E15145" w:rsidRPr="003E5136" w:rsidRDefault="00E15145" w:rsidP="00E1003A">
            <w:pPr>
              <w:keepLines/>
              <w:spacing w:after="0" w:line="240" w:lineRule="auto"/>
              <w:jc w:val="center"/>
              <w:rPr>
                <w:rFonts w:ascii="Times New Roman" w:eastAsia="Calibri" w:hAnsi="Times New Roman" w:cs="Times New Roman"/>
                <w:sz w:val="24"/>
                <w:szCs w:val="24"/>
              </w:rPr>
            </w:pPr>
            <w:r w:rsidRPr="003E5136">
              <w:rPr>
                <w:rFonts w:ascii="Times New Roman" w:eastAsia="Calibri" w:hAnsi="Times New Roman" w:cs="Times New Roman"/>
                <w:sz w:val="24"/>
                <w:szCs w:val="24"/>
              </w:rPr>
              <w:t>1</w:t>
            </w:r>
            <w:r>
              <w:rPr>
                <w:rFonts w:ascii="Times New Roman" w:eastAsia="Calibri" w:hAnsi="Times New Roman" w:cs="Times New Roman"/>
                <w:sz w:val="24"/>
                <w:szCs w:val="24"/>
              </w:rPr>
              <w:t>1121</w:t>
            </w:r>
          </w:p>
        </w:tc>
      </w:tr>
      <w:tr w:rsidR="004003CC" w:rsidRPr="003E5136" w:rsidTr="004003CC">
        <w:trPr>
          <w:trHeight w:val="340"/>
        </w:trPr>
        <w:tc>
          <w:tcPr>
            <w:tcW w:w="2574" w:type="pct"/>
            <w:tcBorders>
              <w:top w:val="single" w:sz="4" w:space="0" w:color="auto"/>
              <w:left w:val="single" w:sz="4" w:space="0" w:color="auto"/>
              <w:bottom w:val="single" w:sz="4" w:space="0" w:color="auto"/>
              <w:right w:val="single" w:sz="4" w:space="0" w:color="auto"/>
            </w:tcBorders>
            <w:vAlign w:val="center"/>
          </w:tcPr>
          <w:p w:rsidR="004003CC" w:rsidRPr="003E5136" w:rsidRDefault="004003CC" w:rsidP="00E15145">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Stanje na 31.12.2020.</w:t>
            </w:r>
          </w:p>
        </w:tc>
        <w:tc>
          <w:tcPr>
            <w:tcW w:w="626" w:type="pct"/>
            <w:tcBorders>
              <w:top w:val="single" w:sz="4" w:space="0" w:color="auto"/>
              <w:left w:val="single" w:sz="4" w:space="0" w:color="auto"/>
              <w:bottom w:val="single" w:sz="4" w:space="0" w:color="auto"/>
              <w:right w:val="single" w:sz="4" w:space="0" w:color="auto"/>
            </w:tcBorders>
            <w:vAlign w:val="center"/>
          </w:tcPr>
          <w:p w:rsidR="004003CC" w:rsidRDefault="004003CC" w:rsidP="00E1003A">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190.000</w:t>
            </w:r>
          </w:p>
        </w:tc>
        <w:tc>
          <w:tcPr>
            <w:tcW w:w="873" w:type="pct"/>
            <w:tcBorders>
              <w:top w:val="single" w:sz="4" w:space="0" w:color="auto"/>
              <w:left w:val="single" w:sz="4" w:space="0" w:color="auto"/>
              <w:bottom w:val="single" w:sz="4" w:space="0" w:color="auto"/>
              <w:right w:val="single" w:sz="4" w:space="0" w:color="auto"/>
            </w:tcBorders>
            <w:vAlign w:val="center"/>
          </w:tcPr>
          <w:p w:rsidR="004003CC" w:rsidRPr="003E5136" w:rsidRDefault="004003CC"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91211</w:t>
            </w:r>
          </w:p>
        </w:tc>
        <w:tc>
          <w:tcPr>
            <w:tcW w:w="927" w:type="pct"/>
            <w:tcBorders>
              <w:top w:val="single" w:sz="4" w:space="0" w:color="auto"/>
              <w:left w:val="single" w:sz="4" w:space="0" w:color="auto"/>
              <w:bottom w:val="single" w:sz="4" w:space="0" w:color="auto"/>
              <w:right w:val="single" w:sz="4" w:space="0" w:color="auto"/>
            </w:tcBorders>
            <w:vAlign w:val="center"/>
          </w:tcPr>
          <w:p w:rsidR="004003CC" w:rsidRPr="003E5136" w:rsidRDefault="004003CC" w:rsidP="00E1003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84711</w:t>
            </w:r>
          </w:p>
        </w:tc>
      </w:tr>
      <w:tr w:rsidR="00A12EFF" w:rsidRPr="003E5136" w:rsidTr="00A12EFF">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A12EFF" w:rsidRDefault="00A12EFF" w:rsidP="00A12EFF">
            <w:pPr>
              <w:keepLine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2021. godina</w:t>
            </w:r>
          </w:p>
        </w:tc>
      </w:tr>
      <w:tr w:rsidR="004003CC" w:rsidRPr="003E5136" w:rsidTr="004003CC">
        <w:trPr>
          <w:trHeight w:val="278"/>
        </w:trPr>
        <w:tc>
          <w:tcPr>
            <w:tcW w:w="2574" w:type="pct"/>
            <w:vMerge w:val="restart"/>
            <w:tcBorders>
              <w:top w:val="single" w:sz="4" w:space="0" w:color="auto"/>
              <w:left w:val="single" w:sz="4" w:space="0" w:color="auto"/>
              <w:right w:val="single" w:sz="4" w:space="0" w:color="auto"/>
            </w:tcBorders>
            <w:vAlign w:val="center"/>
          </w:tcPr>
          <w:p w:rsidR="004003CC" w:rsidRPr="003E5136" w:rsidRDefault="00A12EFF" w:rsidP="00A12EFF">
            <w:pPr>
              <w:keepLines/>
              <w:spacing w:after="0" w:line="240" w:lineRule="auto"/>
              <w:jc w:val="both"/>
              <w:rPr>
                <w:rFonts w:ascii="Times New Roman" w:eastAsia="Calibri" w:hAnsi="Times New Roman" w:cs="Times New Roman"/>
                <w:sz w:val="24"/>
                <w:szCs w:val="24"/>
              </w:rPr>
            </w:pPr>
            <w:r w:rsidRPr="00A12EFF">
              <w:rPr>
                <w:rFonts w:ascii="Times New Roman" w:eastAsia="Calibri" w:hAnsi="Times New Roman" w:cs="Times New Roman"/>
                <w:sz w:val="24"/>
                <w:szCs w:val="24"/>
              </w:rPr>
              <w:t>1</w:t>
            </w:r>
            <w:r w:rsidR="004003CC" w:rsidRPr="00A12EFF">
              <w:rPr>
                <w:rFonts w:ascii="Times New Roman" w:eastAsia="Calibri" w:hAnsi="Times New Roman" w:cs="Times New Roman"/>
                <w:sz w:val="24"/>
                <w:szCs w:val="24"/>
              </w:rPr>
              <w:t xml:space="preserve">. otplata zajma </w:t>
            </w:r>
            <w:r w:rsidRPr="00A12EFF">
              <w:rPr>
                <w:rFonts w:ascii="Times New Roman" w:eastAsia="Calibri" w:hAnsi="Times New Roman" w:cs="Times New Roman"/>
                <w:sz w:val="24"/>
                <w:szCs w:val="24"/>
              </w:rPr>
              <w:t>u 2021.</w:t>
            </w:r>
          </w:p>
        </w:tc>
        <w:tc>
          <w:tcPr>
            <w:tcW w:w="626" w:type="pct"/>
            <w:vMerge w:val="restart"/>
            <w:tcBorders>
              <w:top w:val="single" w:sz="4" w:space="0" w:color="auto"/>
              <w:left w:val="single" w:sz="4" w:space="0" w:color="auto"/>
              <w:right w:val="single" w:sz="4" w:space="0" w:color="auto"/>
            </w:tcBorders>
            <w:vAlign w:val="center"/>
          </w:tcPr>
          <w:p w:rsidR="004003CC" w:rsidRPr="003E5136" w:rsidRDefault="004003CC" w:rsidP="004003CC">
            <w:pPr>
              <w:keepLine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190.000</w:t>
            </w:r>
          </w:p>
        </w:tc>
        <w:tc>
          <w:tcPr>
            <w:tcW w:w="873" w:type="pct"/>
            <w:tcBorders>
              <w:top w:val="single" w:sz="4" w:space="0" w:color="auto"/>
              <w:left w:val="single" w:sz="4" w:space="0" w:color="auto"/>
              <w:bottom w:val="single" w:sz="4" w:space="0" w:color="auto"/>
              <w:right w:val="single" w:sz="4" w:space="0" w:color="auto"/>
            </w:tcBorders>
            <w:vAlign w:val="center"/>
          </w:tcPr>
          <w:p w:rsidR="004003CC" w:rsidRPr="003E5136" w:rsidRDefault="004003CC" w:rsidP="004003CC">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54711</w:t>
            </w:r>
          </w:p>
        </w:tc>
        <w:tc>
          <w:tcPr>
            <w:tcW w:w="927" w:type="pct"/>
            <w:tcBorders>
              <w:top w:val="single" w:sz="4" w:space="0" w:color="auto"/>
              <w:left w:val="single" w:sz="4" w:space="0" w:color="auto"/>
              <w:bottom w:val="single" w:sz="4" w:space="0" w:color="auto"/>
              <w:right w:val="single" w:sz="4" w:space="0" w:color="auto"/>
            </w:tcBorders>
            <w:vAlign w:val="center"/>
          </w:tcPr>
          <w:p w:rsidR="004003CC" w:rsidRDefault="009E2607" w:rsidP="004003CC">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11121</w:t>
            </w:r>
            <w:r w:rsidRPr="00403DA8">
              <w:rPr>
                <w:rFonts w:ascii="Times New Roman" w:eastAsia="Calibri" w:hAnsi="Times New Roman" w:cs="Times New Roman"/>
                <w:b/>
                <w:sz w:val="24"/>
                <w:szCs w:val="24"/>
              </w:rPr>
              <w:t>*</w:t>
            </w:r>
          </w:p>
        </w:tc>
      </w:tr>
      <w:tr w:rsidR="004003CC" w:rsidRPr="003E5136" w:rsidTr="004003CC">
        <w:trPr>
          <w:trHeight w:val="277"/>
        </w:trPr>
        <w:tc>
          <w:tcPr>
            <w:tcW w:w="2574" w:type="pct"/>
            <w:vMerge/>
            <w:tcBorders>
              <w:left w:val="single" w:sz="4" w:space="0" w:color="auto"/>
              <w:bottom w:val="single" w:sz="4" w:space="0" w:color="auto"/>
              <w:right w:val="single" w:sz="4" w:space="0" w:color="auto"/>
            </w:tcBorders>
            <w:vAlign w:val="center"/>
          </w:tcPr>
          <w:p w:rsidR="004003CC" w:rsidRDefault="004003CC" w:rsidP="004003CC">
            <w:pPr>
              <w:keepLines/>
              <w:spacing w:after="0" w:line="240" w:lineRule="auto"/>
              <w:jc w:val="both"/>
              <w:rPr>
                <w:rFonts w:ascii="Times New Roman" w:eastAsia="Calibri" w:hAnsi="Times New Roman" w:cs="Times New Roman"/>
                <w:sz w:val="24"/>
                <w:szCs w:val="24"/>
              </w:rPr>
            </w:pPr>
          </w:p>
        </w:tc>
        <w:tc>
          <w:tcPr>
            <w:tcW w:w="626" w:type="pct"/>
            <w:vMerge/>
            <w:tcBorders>
              <w:left w:val="single" w:sz="4" w:space="0" w:color="auto"/>
              <w:bottom w:val="single" w:sz="4" w:space="0" w:color="auto"/>
              <w:right w:val="single" w:sz="4" w:space="0" w:color="auto"/>
            </w:tcBorders>
            <w:vAlign w:val="center"/>
          </w:tcPr>
          <w:p w:rsidR="004003CC" w:rsidRDefault="004003CC" w:rsidP="004003CC">
            <w:pPr>
              <w:keepLines/>
              <w:spacing w:after="0" w:line="240" w:lineRule="auto"/>
              <w:jc w:val="right"/>
              <w:rPr>
                <w:rFonts w:ascii="Times New Roman" w:eastAsia="Calibri" w:hAnsi="Times New Roman" w:cs="Times New Roman"/>
                <w:bCs/>
                <w:sz w:val="24"/>
                <w:szCs w:val="24"/>
              </w:rPr>
            </w:pPr>
          </w:p>
        </w:tc>
        <w:tc>
          <w:tcPr>
            <w:tcW w:w="873" w:type="pct"/>
            <w:tcBorders>
              <w:top w:val="single" w:sz="4" w:space="0" w:color="auto"/>
              <w:left w:val="single" w:sz="4" w:space="0" w:color="auto"/>
              <w:bottom w:val="single" w:sz="4" w:space="0" w:color="auto"/>
              <w:right w:val="single" w:sz="4" w:space="0" w:color="auto"/>
            </w:tcBorders>
            <w:vAlign w:val="center"/>
          </w:tcPr>
          <w:p w:rsidR="004003CC" w:rsidRDefault="004003CC" w:rsidP="004003CC">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26711</w:t>
            </w:r>
          </w:p>
        </w:tc>
        <w:tc>
          <w:tcPr>
            <w:tcW w:w="927" w:type="pct"/>
            <w:tcBorders>
              <w:top w:val="single" w:sz="4" w:space="0" w:color="auto"/>
              <w:left w:val="single" w:sz="4" w:space="0" w:color="auto"/>
              <w:bottom w:val="single" w:sz="4" w:space="0" w:color="auto"/>
              <w:right w:val="single" w:sz="4" w:space="0" w:color="auto"/>
            </w:tcBorders>
            <w:vAlign w:val="center"/>
          </w:tcPr>
          <w:p w:rsidR="004003CC" w:rsidRDefault="004003CC" w:rsidP="004003CC">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91211</w:t>
            </w:r>
          </w:p>
        </w:tc>
      </w:tr>
    </w:tbl>
    <w:p w:rsidR="00AF6046" w:rsidRPr="00403DA8" w:rsidRDefault="00403DA8" w:rsidP="00D6581D">
      <w:pPr>
        <w:spacing w:line="240" w:lineRule="auto"/>
        <w:jc w:val="both"/>
        <w:rPr>
          <w:rFonts w:ascii="Times New Roman" w:hAnsi="Times New Roman" w:cs="Times New Roman"/>
          <w:i/>
          <w:sz w:val="24"/>
          <w:szCs w:val="24"/>
        </w:rPr>
      </w:pPr>
      <w:r w:rsidRPr="00403DA8">
        <w:rPr>
          <w:rFonts w:ascii="Times New Roman" w:hAnsi="Times New Roman" w:cs="Times New Roman"/>
          <w:i/>
          <w:sz w:val="24"/>
          <w:szCs w:val="24"/>
        </w:rPr>
        <w:t xml:space="preserve">* </w:t>
      </w:r>
      <w:r w:rsidR="009E2607" w:rsidRPr="00403DA8">
        <w:rPr>
          <w:rFonts w:ascii="Times New Roman" w:hAnsi="Times New Roman" w:cs="Times New Roman"/>
          <w:i/>
          <w:sz w:val="24"/>
          <w:szCs w:val="24"/>
        </w:rPr>
        <w:t>u prethodno objavljenoj Uputi otplata zajma bila</w:t>
      </w:r>
      <w:r w:rsidRPr="00403DA8">
        <w:rPr>
          <w:rFonts w:ascii="Times New Roman" w:hAnsi="Times New Roman" w:cs="Times New Roman"/>
          <w:i/>
          <w:sz w:val="24"/>
          <w:szCs w:val="24"/>
        </w:rPr>
        <w:t xml:space="preserve"> je</w:t>
      </w:r>
      <w:r w:rsidR="009E2607" w:rsidRPr="00403DA8">
        <w:rPr>
          <w:rFonts w:ascii="Times New Roman" w:hAnsi="Times New Roman" w:cs="Times New Roman"/>
          <w:i/>
          <w:sz w:val="24"/>
          <w:szCs w:val="24"/>
        </w:rPr>
        <w:t xml:space="preserve"> greškom evidentirana u okviru podskupine 611, u ispravljenoj Uputi izmijenjena je evidencija otplate zajma zaduženjem osnovnog računa 54711 te </w:t>
      </w:r>
      <w:r w:rsidR="009E2607" w:rsidRPr="00403DA8">
        <w:rPr>
          <w:rFonts w:ascii="Times New Roman" w:hAnsi="Times New Roman" w:cs="Times New Roman"/>
          <w:b/>
          <w:i/>
          <w:sz w:val="24"/>
          <w:szCs w:val="24"/>
        </w:rPr>
        <w:t>odobrenjem osnovnog računa 11121</w:t>
      </w:r>
      <w:bookmarkStart w:id="0" w:name="_GoBack"/>
      <w:bookmarkEnd w:id="0"/>
    </w:p>
    <w:p w:rsidR="004003CC" w:rsidRPr="004003CC" w:rsidRDefault="004003CC" w:rsidP="00D6581D">
      <w:pPr>
        <w:spacing w:line="240" w:lineRule="auto"/>
        <w:jc w:val="both"/>
        <w:rPr>
          <w:rFonts w:ascii="Times New Roman" w:hAnsi="Times New Roman" w:cs="Times New Roman"/>
          <w:b/>
          <w:sz w:val="24"/>
          <w:szCs w:val="24"/>
        </w:rPr>
      </w:pPr>
      <w:r>
        <w:rPr>
          <w:rFonts w:ascii="Times New Roman" w:hAnsi="Times New Roman" w:cs="Times New Roman"/>
          <w:b/>
          <w:sz w:val="24"/>
          <w:szCs w:val="24"/>
        </w:rPr>
        <w:t>Napomena jedinicama</w:t>
      </w:r>
      <w:r w:rsidRPr="004003CC">
        <w:rPr>
          <w:rFonts w:ascii="Times New Roman" w:hAnsi="Times New Roman" w:cs="Times New Roman"/>
          <w:b/>
          <w:sz w:val="24"/>
          <w:szCs w:val="24"/>
        </w:rPr>
        <w:t xml:space="preserve"> koje nisu podnijele zahtjev za beskamatni zajam</w:t>
      </w:r>
    </w:p>
    <w:p w:rsidR="004003CC" w:rsidRDefault="00642CA7" w:rsidP="00D6581D">
      <w:pPr>
        <w:spacing w:line="240" w:lineRule="auto"/>
        <w:jc w:val="both"/>
        <w:rPr>
          <w:rFonts w:ascii="Times New Roman" w:hAnsi="Times New Roman" w:cs="Times New Roman"/>
          <w:sz w:val="24"/>
          <w:szCs w:val="24"/>
        </w:rPr>
      </w:pPr>
      <w:r>
        <w:rPr>
          <w:rFonts w:ascii="Times New Roman" w:hAnsi="Times New Roman" w:cs="Times New Roman"/>
          <w:sz w:val="24"/>
          <w:szCs w:val="24"/>
        </w:rPr>
        <w:t>Jedinicama</w:t>
      </w:r>
      <w:r w:rsidR="0083086A" w:rsidRPr="003E5136">
        <w:rPr>
          <w:rFonts w:ascii="Times New Roman" w:hAnsi="Times New Roman" w:cs="Times New Roman"/>
          <w:sz w:val="24"/>
          <w:szCs w:val="24"/>
        </w:rPr>
        <w:t xml:space="preserve"> koje nisu podnijele zahtjev za beskamatni zajam, a u trenutku povrata poreza na dohodak i prireza po godišnjoj prijavi nemaju na računu prihoda od poreza na dohodak i prireza dovoljan iznos sredstava za isplatu cijelog povrata, </w:t>
      </w:r>
      <w:r w:rsidR="004003CC">
        <w:rPr>
          <w:rFonts w:ascii="Times New Roman" w:hAnsi="Times New Roman" w:cs="Times New Roman"/>
          <w:sz w:val="24"/>
          <w:szCs w:val="24"/>
        </w:rPr>
        <w:t xml:space="preserve">nedostajuća </w:t>
      </w:r>
      <w:r w:rsidR="0083086A" w:rsidRPr="003E5136">
        <w:rPr>
          <w:rFonts w:ascii="Times New Roman" w:hAnsi="Times New Roman" w:cs="Times New Roman"/>
          <w:sz w:val="24"/>
          <w:szCs w:val="24"/>
        </w:rPr>
        <w:t xml:space="preserve">sredstva </w:t>
      </w:r>
      <w:r w:rsidR="004003CC">
        <w:rPr>
          <w:rFonts w:ascii="Times New Roman" w:hAnsi="Times New Roman" w:cs="Times New Roman"/>
          <w:sz w:val="24"/>
          <w:szCs w:val="24"/>
        </w:rPr>
        <w:t>bit će podmirena</w:t>
      </w:r>
      <w:r w:rsidR="0083086A" w:rsidRPr="003E5136">
        <w:rPr>
          <w:rFonts w:ascii="Times New Roman" w:hAnsi="Times New Roman" w:cs="Times New Roman"/>
          <w:sz w:val="24"/>
          <w:szCs w:val="24"/>
        </w:rPr>
        <w:t xml:space="preserve"> iz državnog proračuna</w:t>
      </w:r>
      <w:r w:rsidR="004003CC">
        <w:rPr>
          <w:rFonts w:ascii="Times New Roman" w:hAnsi="Times New Roman" w:cs="Times New Roman"/>
          <w:sz w:val="24"/>
          <w:szCs w:val="24"/>
        </w:rPr>
        <w:t>, a jedinice navedena sredstva</w:t>
      </w:r>
      <w:r w:rsidR="0083086A" w:rsidRPr="003E5136">
        <w:rPr>
          <w:rFonts w:ascii="Times New Roman" w:hAnsi="Times New Roman" w:cs="Times New Roman"/>
          <w:sz w:val="24"/>
          <w:szCs w:val="24"/>
        </w:rPr>
        <w:t xml:space="preserve"> također evidentiraju kao kratkoročni zajam primljen od državnog proračuna</w:t>
      </w:r>
      <w:r w:rsidR="004003CC">
        <w:rPr>
          <w:rFonts w:ascii="Times New Roman" w:hAnsi="Times New Roman" w:cs="Times New Roman"/>
          <w:sz w:val="24"/>
          <w:szCs w:val="24"/>
        </w:rPr>
        <w:t>, iako ga nisu tražili</w:t>
      </w:r>
      <w:r w:rsidR="0083086A" w:rsidRPr="003E5136">
        <w:rPr>
          <w:rFonts w:ascii="Times New Roman" w:hAnsi="Times New Roman" w:cs="Times New Roman"/>
          <w:sz w:val="24"/>
          <w:szCs w:val="24"/>
        </w:rPr>
        <w:t>.</w:t>
      </w:r>
    </w:p>
    <w:p w:rsidR="0083086A" w:rsidRPr="003E5136"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U skladu s odredbama Izmjena i dopuna Naputka o načinu uplaćivanja prihoda proračuna, obveznih doprinosa te prihoda za financiranje drugih javnih potreba u 2020. godini</w:t>
      </w:r>
      <w:r w:rsidR="004003CC">
        <w:rPr>
          <w:rFonts w:ascii="Times New Roman" w:hAnsi="Times New Roman" w:cs="Times New Roman"/>
        </w:rPr>
        <w:t xml:space="preserve"> </w:t>
      </w:r>
      <w:r w:rsidR="004003CC" w:rsidRPr="004003CC">
        <w:rPr>
          <w:rFonts w:ascii="Times New Roman" w:hAnsi="Times New Roman" w:cs="Times New Roman"/>
        </w:rPr>
        <w:t>(Narodne novine, br. 67/20)</w:t>
      </w:r>
      <w:r w:rsidRPr="003E5136">
        <w:rPr>
          <w:rFonts w:ascii="Times New Roman" w:hAnsi="Times New Roman" w:cs="Times New Roman"/>
          <w:sz w:val="24"/>
          <w:szCs w:val="24"/>
        </w:rPr>
        <w:t xml:space="preserve"> sredstva državnog proračuna korištena za namirenje nedostajućih sredstava neće se vraćati iz priljeva sredstava na račun poreza na dohodak i prireza već Fina za nedostajuća sredstva ispostavlja naloge povrata na teret računa proračuna i dostavlja nadležnoj jedinici lokalne i područne (regionalne) samouprave na izvršenje</w:t>
      </w:r>
      <w:r w:rsidR="00703E8D">
        <w:rPr>
          <w:rFonts w:ascii="Times New Roman" w:hAnsi="Times New Roman" w:cs="Times New Roman"/>
          <w:sz w:val="24"/>
          <w:szCs w:val="24"/>
        </w:rPr>
        <w:t xml:space="preserve">, a jedinica sama odlučuje o dinamici povrata dobivenog zajma </w:t>
      </w:r>
      <w:r w:rsidR="00703E8D" w:rsidRPr="003E5136">
        <w:rPr>
          <w:rFonts w:ascii="Times New Roman" w:hAnsi="Times New Roman" w:cs="Times New Roman"/>
          <w:sz w:val="24"/>
          <w:szCs w:val="24"/>
        </w:rPr>
        <w:t>u roku od 90 kalendarskih dana</w:t>
      </w:r>
      <w:r w:rsidRPr="003E5136">
        <w:rPr>
          <w:rFonts w:ascii="Times New Roman" w:hAnsi="Times New Roman" w:cs="Times New Roman"/>
          <w:sz w:val="24"/>
          <w:szCs w:val="24"/>
        </w:rPr>
        <w:t>.</w:t>
      </w:r>
    </w:p>
    <w:p w:rsidR="0083086A" w:rsidRPr="003E5136" w:rsidRDefault="0083086A" w:rsidP="00D6581D">
      <w:pPr>
        <w:spacing w:line="240" w:lineRule="auto"/>
        <w:jc w:val="both"/>
        <w:rPr>
          <w:rFonts w:ascii="Times New Roman" w:hAnsi="Times New Roman" w:cs="Times New Roman"/>
          <w:sz w:val="24"/>
          <w:szCs w:val="24"/>
        </w:rPr>
      </w:pPr>
      <w:r w:rsidRPr="003E5136">
        <w:rPr>
          <w:rFonts w:ascii="Times New Roman" w:hAnsi="Times New Roman" w:cs="Times New Roman"/>
          <w:sz w:val="24"/>
          <w:szCs w:val="24"/>
        </w:rPr>
        <w:t>Ako jedinica ne izvrši nalog u roku od 90 kalendarskih dana, Fina nalog za povrat na teret računa proračuna dostavlja kreditnoj instituciji na izvršenje. Ako nema raspoloživih sredstava na računu proračuna, kreditna institucija nalog vraća Fini. Sredstva korištena za izvršenje povrata temeljem godišnjeg obračuna poreza na dohodak i prireza porezu na dohodak za 2019. godinu koja nisu vraćena na račun državnog proračuna, vraćaju se iz prvoga priljeva sredstava na račun poreza na dohodak i prireza porezu na dohodak.</w:t>
      </w:r>
    </w:p>
    <w:p w:rsidR="00C47F42" w:rsidRDefault="00C47F42"/>
    <w:sectPr w:rsidR="00C47F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6A" w:rsidRDefault="0083086A" w:rsidP="0083086A">
      <w:pPr>
        <w:spacing w:after="0" w:line="240" w:lineRule="auto"/>
      </w:pPr>
      <w:r>
        <w:separator/>
      </w:r>
    </w:p>
  </w:endnote>
  <w:endnote w:type="continuationSeparator" w:id="0">
    <w:p w:rsidR="0083086A" w:rsidRDefault="0083086A" w:rsidP="0083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6A" w:rsidRDefault="0083086A" w:rsidP="0083086A">
      <w:pPr>
        <w:spacing w:after="0" w:line="240" w:lineRule="auto"/>
      </w:pPr>
      <w:r>
        <w:separator/>
      </w:r>
    </w:p>
  </w:footnote>
  <w:footnote w:type="continuationSeparator" w:id="0">
    <w:p w:rsidR="0083086A" w:rsidRDefault="0083086A" w:rsidP="0083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536"/>
    <w:multiLevelType w:val="hybridMultilevel"/>
    <w:tmpl w:val="521A17C4"/>
    <w:lvl w:ilvl="0" w:tplc="2A68545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830270"/>
    <w:multiLevelType w:val="hybridMultilevel"/>
    <w:tmpl w:val="389C4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753645"/>
    <w:multiLevelType w:val="hybridMultilevel"/>
    <w:tmpl w:val="3B080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207563"/>
    <w:multiLevelType w:val="multilevel"/>
    <w:tmpl w:val="3E32544E"/>
    <w:lvl w:ilvl="0">
      <w:start w:val="1"/>
      <w:numFmt w:val="decimal"/>
      <w:lvlText w:val="%1."/>
      <w:lvlJc w:val="left"/>
      <w:pPr>
        <w:tabs>
          <w:tab w:val="num" w:pos="284"/>
        </w:tabs>
        <w:ind w:left="284" w:hanging="284"/>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554A33A3"/>
    <w:multiLevelType w:val="hybridMultilevel"/>
    <w:tmpl w:val="389C4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826428"/>
    <w:multiLevelType w:val="hybridMultilevel"/>
    <w:tmpl w:val="DF08B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6A"/>
    <w:rsid w:val="00090A7A"/>
    <w:rsid w:val="000C46C2"/>
    <w:rsid w:val="000E2EF1"/>
    <w:rsid w:val="000F5DB9"/>
    <w:rsid w:val="003A14AF"/>
    <w:rsid w:val="004003CC"/>
    <w:rsid w:val="00403DA8"/>
    <w:rsid w:val="00424704"/>
    <w:rsid w:val="004F44D7"/>
    <w:rsid w:val="00642CA7"/>
    <w:rsid w:val="00702321"/>
    <w:rsid w:val="00703E8D"/>
    <w:rsid w:val="007772B2"/>
    <w:rsid w:val="0083086A"/>
    <w:rsid w:val="00850689"/>
    <w:rsid w:val="008E5BA4"/>
    <w:rsid w:val="00986914"/>
    <w:rsid w:val="009A42BF"/>
    <w:rsid w:val="009E2607"/>
    <w:rsid w:val="00A12EFF"/>
    <w:rsid w:val="00AB0322"/>
    <w:rsid w:val="00AF6046"/>
    <w:rsid w:val="00BF7776"/>
    <w:rsid w:val="00C012BB"/>
    <w:rsid w:val="00C47F42"/>
    <w:rsid w:val="00CF66FB"/>
    <w:rsid w:val="00D6581D"/>
    <w:rsid w:val="00DB3847"/>
    <w:rsid w:val="00E15145"/>
    <w:rsid w:val="00E33738"/>
    <w:rsid w:val="00E34D9A"/>
    <w:rsid w:val="00E453F3"/>
    <w:rsid w:val="00F245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37D1"/>
  <w15:docId w15:val="{C2ACDD27-E021-4511-A4C8-7C6B2D44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6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83086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3086A"/>
    <w:rPr>
      <w:sz w:val="20"/>
      <w:szCs w:val="20"/>
    </w:rPr>
  </w:style>
  <w:style w:type="character" w:styleId="Referencafusnote">
    <w:name w:val="footnote reference"/>
    <w:basedOn w:val="Zadanifontodlomka"/>
    <w:uiPriority w:val="99"/>
    <w:semiHidden/>
    <w:unhideWhenUsed/>
    <w:rsid w:val="0083086A"/>
    <w:rPr>
      <w:vertAlign w:val="superscript"/>
    </w:rPr>
  </w:style>
  <w:style w:type="character" w:styleId="Hiperveza">
    <w:name w:val="Hyperlink"/>
    <w:basedOn w:val="Zadanifontodlomka"/>
    <w:uiPriority w:val="99"/>
    <w:unhideWhenUsed/>
    <w:rsid w:val="0083086A"/>
    <w:rPr>
      <w:color w:val="0563C1" w:themeColor="hyperlink"/>
      <w:u w:val="single"/>
    </w:rPr>
  </w:style>
  <w:style w:type="paragraph" w:styleId="Odlomakpopisa">
    <w:name w:val="List Paragraph"/>
    <w:basedOn w:val="Normal"/>
    <w:uiPriority w:val="34"/>
    <w:qFormat/>
    <w:rsid w:val="0083086A"/>
    <w:pPr>
      <w:ind w:left="720"/>
      <w:contextualSpacing/>
    </w:pPr>
  </w:style>
  <w:style w:type="character" w:customStyle="1" w:styleId="TijelotekstaChar">
    <w:name w:val="Tijelo teksta Char"/>
    <w:aliases w:val="uvlaka 3 Char,uvlaka 2 Char"/>
    <w:basedOn w:val="Zadanifontodlomka"/>
    <w:link w:val="Tijeloteksta"/>
    <w:locked/>
    <w:rsid w:val="0083086A"/>
    <w:rPr>
      <w:sz w:val="24"/>
      <w:szCs w:val="24"/>
    </w:rPr>
  </w:style>
  <w:style w:type="paragraph" w:styleId="Tijeloteksta">
    <w:name w:val="Body Text"/>
    <w:aliases w:val="uvlaka 3,uvlaka 2"/>
    <w:basedOn w:val="Normal"/>
    <w:link w:val="TijelotekstaChar"/>
    <w:unhideWhenUsed/>
    <w:rsid w:val="0083086A"/>
    <w:pPr>
      <w:spacing w:after="0" w:line="240" w:lineRule="auto"/>
      <w:jc w:val="both"/>
    </w:pPr>
    <w:rPr>
      <w:sz w:val="24"/>
      <w:szCs w:val="24"/>
    </w:rPr>
  </w:style>
  <w:style w:type="character" w:customStyle="1" w:styleId="TijelotekstaChar1">
    <w:name w:val="Tijelo teksta Char1"/>
    <w:basedOn w:val="Zadanifontodlomka"/>
    <w:uiPriority w:val="99"/>
    <w:semiHidden/>
    <w:rsid w:val="0083086A"/>
  </w:style>
  <w:style w:type="paragraph" w:styleId="Tekstbalonia">
    <w:name w:val="Balloon Text"/>
    <w:basedOn w:val="Normal"/>
    <w:link w:val="TekstbaloniaChar"/>
    <w:uiPriority w:val="99"/>
    <w:semiHidden/>
    <w:unhideWhenUsed/>
    <w:rsid w:val="00AB03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0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2108</Words>
  <Characters>12020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Štefković</dc:creator>
  <cp:keywords/>
  <dc:description/>
  <cp:lastModifiedBy>Martina Štefković</cp:lastModifiedBy>
  <cp:revision>21</cp:revision>
  <cp:lastPrinted>2020-06-24T12:20:00Z</cp:lastPrinted>
  <dcterms:created xsi:type="dcterms:W3CDTF">2020-06-24T10:06:00Z</dcterms:created>
  <dcterms:modified xsi:type="dcterms:W3CDTF">2021-04-07T12:52:00Z</dcterms:modified>
</cp:coreProperties>
</file>